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A6DD" w14:textId="3C5DEDA8" w:rsidR="00F40E17" w:rsidRPr="00D02B5E" w:rsidRDefault="00F40E17" w:rsidP="00F40E17">
      <w:pPr>
        <w:spacing w:after="0" w:line="240" w:lineRule="auto"/>
        <w:jc w:val="center"/>
        <w:rPr>
          <w:rFonts w:ascii="Arial" w:eastAsia="Calibri" w:hAnsi="Arial" w:cs="Calibri"/>
          <w:b/>
          <w:bCs/>
          <w:kern w:val="0"/>
          <w14:ligatures w14:val="none"/>
        </w:rPr>
      </w:pPr>
      <w:r w:rsidRPr="00D02B5E">
        <w:rPr>
          <w:rFonts w:ascii="Arial" w:eastAsia="Calibri" w:hAnsi="Arial" w:cs="Calibri"/>
          <w:b/>
          <w:bCs/>
          <w:kern w:val="0"/>
          <w14:ligatures w14:val="none"/>
        </w:rPr>
        <w:t xml:space="preserve">Bacteriophage </w:t>
      </w:r>
      <w:r>
        <w:rPr>
          <w:rFonts w:ascii="Arial" w:eastAsia="Calibri" w:hAnsi="Arial" w:cs="Calibri"/>
          <w:b/>
          <w:bCs/>
          <w:kern w:val="0"/>
          <w14:ligatures w14:val="none"/>
        </w:rPr>
        <w:t>C</w:t>
      </w:r>
      <w:r w:rsidRPr="00D02B5E">
        <w:rPr>
          <w:rFonts w:ascii="Arial" w:eastAsia="Calibri" w:hAnsi="Arial" w:cs="Calibri"/>
          <w:b/>
          <w:bCs/>
          <w:kern w:val="0"/>
          <w14:ligatures w14:val="none"/>
        </w:rPr>
        <w:t xml:space="preserve">onjugates to </w:t>
      </w:r>
      <w:r>
        <w:rPr>
          <w:rFonts w:ascii="Arial" w:eastAsia="Calibri" w:hAnsi="Arial" w:cs="Calibri"/>
          <w:b/>
          <w:bCs/>
          <w:kern w:val="0"/>
          <w14:ligatures w14:val="none"/>
        </w:rPr>
        <w:t>O</w:t>
      </w:r>
      <w:r w:rsidRPr="00D02B5E">
        <w:rPr>
          <w:rFonts w:ascii="Arial" w:eastAsia="Calibri" w:hAnsi="Arial" w:cs="Calibri"/>
          <w:b/>
          <w:bCs/>
          <w:kern w:val="0"/>
          <w14:ligatures w14:val="none"/>
        </w:rPr>
        <w:t xml:space="preserve">vercome </w:t>
      </w:r>
      <w:r>
        <w:rPr>
          <w:rFonts w:ascii="Arial" w:eastAsia="Calibri" w:hAnsi="Arial" w:cs="Calibri"/>
          <w:b/>
          <w:bCs/>
          <w:kern w:val="0"/>
          <w14:ligatures w14:val="none"/>
        </w:rPr>
        <w:t>A</w:t>
      </w:r>
      <w:r w:rsidRPr="00D02B5E">
        <w:rPr>
          <w:rFonts w:ascii="Arial" w:eastAsia="Calibri" w:hAnsi="Arial" w:cs="Calibri"/>
          <w:b/>
          <w:bCs/>
          <w:kern w:val="0"/>
          <w14:ligatures w14:val="none"/>
        </w:rPr>
        <w:t xml:space="preserve">ntimicrobial </w:t>
      </w:r>
      <w:r>
        <w:rPr>
          <w:rFonts w:ascii="Arial" w:eastAsia="Calibri" w:hAnsi="Arial" w:cs="Calibri"/>
          <w:b/>
          <w:bCs/>
          <w:kern w:val="0"/>
          <w14:ligatures w14:val="none"/>
        </w:rPr>
        <w:t>R</w:t>
      </w:r>
      <w:r w:rsidRPr="00D02B5E">
        <w:rPr>
          <w:rFonts w:ascii="Arial" w:eastAsia="Calibri" w:hAnsi="Arial" w:cs="Calibri"/>
          <w:b/>
          <w:bCs/>
          <w:kern w:val="0"/>
          <w14:ligatures w14:val="none"/>
        </w:rPr>
        <w:t>esistance</w:t>
      </w:r>
    </w:p>
    <w:p w14:paraId="176A14F9" w14:textId="77777777" w:rsidR="00F40E17" w:rsidRDefault="00F40E17" w:rsidP="00F40E17">
      <w:pPr>
        <w:spacing w:after="0" w:line="240" w:lineRule="auto"/>
        <w:rPr>
          <w:rFonts w:ascii="Arial" w:hAnsi="Arial" w:cs="Arial"/>
          <w:sz w:val="20"/>
          <w:szCs w:val="20"/>
          <w:vertAlign w:val="superscript"/>
        </w:rPr>
      </w:pPr>
      <w:r w:rsidRPr="00D02B5E">
        <w:rPr>
          <w:rFonts w:ascii="Arial" w:hAnsi="Arial" w:cs="Arial"/>
          <w:b/>
          <w:bCs/>
          <w:sz w:val="20"/>
          <w:szCs w:val="20"/>
          <w:u w:val="single"/>
        </w:rPr>
        <w:t>Huiping Huang</w:t>
      </w:r>
      <w:r w:rsidRPr="00D02B5E">
        <w:rPr>
          <w:rFonts w:ascii="Arial" w:hAnsi="Arial" w:cs="Arial"/>
          <w:b/>
          <w:bCs/>
          <w:sz w:val="20"/>
          <w:szCs w:val="20"/>
          <w:vertAlign w:val="superscript"/>
        </w:rPr>
        <w:t>1</w:t>
      </w:r>
      <w:r w:rsidRPr="00C87FD0">
        <w:rPr>
          <w:rFonts w:ascii="Arial" w:hAnsi="Arial" w:cs="Arial"/>
          <w:sz w:val="20"/>
          <w:szCs w:val="20"/>
        </w:rPr>
        <w:t>, Jonathan Iredell</w:t>
      </w:r>
      <w:r w:rsidRPr="00C87FD0">
        <w:rPr>
          <w:rFonts w:ascii="Arial" w:hAnsi="Arial" w:cs="Arial"/>
          <w:sz w:val="20"/>
          <w:szCs w:val="20"/>
          <w:vertAlign w:val="superscript"/>
        </w:rPr>
        <w:t>2,3,4</w:t>
      </w:r>
      <w:r w:rsidRPr="00C87FD0">
        <w:rPr>
          <w:rFonts w:ascii="Arial" w:hAnsi="Arial" w:cs="Arial"/>
          <w:sz w:val="20"/>
          <w:szCs w:val="20"/>
        </w:rPr>
        <w:t xml:space="preserve"> and Hien T.T. Duong</w:t>
      </w:r>
      <w:r w:rsidRPr="00C87FD0">
        <w:rPr>
          <w:rFonts w:ascii="Arial" w:hAnsi="Arial" w:cs="Arial"/>
          <w:sz w:val="20"/>
          <w:szCs w:val="20"/>
          <w:vertAlign w:val="superscript"/>
        </w:rPr>
        <w:t>1</w:t>
      </w:r>
    </w:p>
    <w:p w14:paraId="5BB36023" w14:textId="77777777" w:rsidR="00F40E17" w:rsidRPr="00D02B5E" w:rsidRDefault="00F40E17" w:rsidP="00F40E17">
      <w:pPr>
        <w:spacing w:after="0" w:line="240" w:lineRule="auto"/>
        <w:rPr>
          <w:rFonts w:ascii="Arial" w:hAnsi="Arial" w:cs="Arial"/>
          <w:sz w:val="20"/>
          <w:szCs w:val="20"/>
          <w:vertAlign w:val="superscript"/>
        </w:rPr>
      </w:pPr>
      <w:r w:rsidRPr="00C87FD0">
        <w:rPr>
          <w:rFonts w:ascii="Arial" w:hAnsi="Arial" w:cs="Arial"/>
          <w:sz w:val="20"/>
          <w:szCs w:val="20"/>
        </w:rPr>
        <w:t xml:space="preserve">School of Pharmacy, Faculty of Medicine and Health, </w:t>
      </w:r>
      <w:r>
        <w:rPr>
          <w:rFonts w:ascii="Arial" w:hAnsi="Arial" w:cs="Arial"/>
          <w:sz w:val="20"/>
          <w:szCs w:val="20"/>
        </w:rPr>
        <w:t>t</w:t>
      </w:r>
      <w:r w:rsidRPr="00C87FD0">
        <w:rPr>
          <w:rFonts w:ascii="Arial" w:hAnsi="Arial" w:cs="Arial"/>
          <w:sz w:val="20"/>
          <w:szCs w:val="20"/>
        </w:rPr>
        <w:t>he University of Sydney</w:t>
      </w:r>
      <w:r>
        <w:rPr>
          <w:rFonts w:ascii="Arial" w:hAnsi="Arial" w:cs="Arial"/>
          <w:sz w:val="20"/>
          <w:szCs w:val="20"/>
          <w:vertAlign w:val="superscript"/>
        </w:rPr>
        <w:t>1</w:t>
      </w:r>
      <w:r w:rsidRPr="00C87FD0">
        <w:rPr>
          <w:rFonts w:ascii="Arial" w:hAnsi="Arial" w:cs="Arial"/>
          <w:sz w:val="20"/>
          <w:szCs w:val="20"/>
        </w:rPr>
        <w:t>, Sydney, NSW, Australi</w:t>
      </w:r>
      <w:r>
        <w:rPr>
          <w:rFonts w:ascii="Arial" w:hAnsi="Arial" w:cs="Arial"/>
          <w:sz w:val="20"/>
          <w:szCs w:val="20"/>
        </w:rPr>
        <w:t>a</w:t>
      </w:r>
    </w:p>
    <w:p w14:paraId="0B7BFABB" w14:textId="77777777" w:rsidR="00F40E17" w:rsidRDefault="00F40E17" w:rsidP="00F40E17">
      <w:pPr>
        <w:spacing w:after="0"/>
        <w:rPr>
          <w:rFonts w:ascii="Arial" w:hAnsi="Arial" w:cs="Arial"/>
          <w:sz w:val="20"/>
          <w:szCs w:val="20"/>
        </w:rPr>
      </w:pPr>
      <w:r w:rsidRPr="00C87FD0">
        <w:rPr>
          <w:rFonts w:ascii="Arial" w:hAnsi="Arial" w:cs="Arial"/>
          <w:sz w:val="20"/>
          <w:szCs w:val="20"/>
        </w:rPr>
        <w:t>School of Medical Sciences</w:t>
      </w:r>
      <w:r>
        <w:rPr>
          <w:rFonts w:ascii="Arial" w:hAnsi="Arial" w:cs="Arial"/>
          <w:sz w:val="20"/>
          <w:szCs w:val="20"/>
        </w:rPr>
        <w:t xml:space="preserve">, </w:t>
      </w:r>
      <w:r w:rsidRPr="00C87FD0">
        <w:rPr>
          <w:rFonts w:ascii="Arial" w:hAnsi="Arial" w:cs="Arial"/>
          <w:sz w:val="20"/>
          <w:szCs w:val="20"/>
        </w:rPr>
        <w:t>Faculty of Medicine and Health,</w:t>
      </w:r>
      <w:r>
        <w:rPr>
          <w:rFonts w:ascii="Arial" w:hAnsi="Arial" w:cs="Arial"/>
          <w:sz w:val="20"/>
          <w:szCs w:val="20"/>
        </w:rPr>
        <w:t xml:space="preserve"> t</w:t>
      </w:r>
      <w:r w:rsidRPr="00C87FD0">
        <w:rPr>
          <w:rFonts w:ascii="Arial" w:hAnsi="Arial" w:cs="Arial"/>
          <w:sz w:val="20"/>
          <w:szCs w:val="20"/>
        </w:rPr>
        <w:t>he University of Sydney</w:t>
      </w:r>
      <w:r>
        <w:rPr>
          <w:rFonts w:ascii="Arial" w:hAnsi="Arial" w:cs="Arial"/>
          <w:sz w:val="20"/>
          <w:szCs w:val="20"/>
          <w:vertAlign w:val="superscript"/>
        </w:rPr>
        <w:t>2</w:t>
      </w:r>
      <w:r w:rsidRPr="00C87FD0">
        <w:rPr>
          <w:rFonts w:ascii="Arial" w:hAnsi="Arial" w:cs="Arial"/>
          <w:sz w:val="20"/>
          <w:szCs w:val="20"/>
        </w:rPr>
        <w:t>, Sydney, NSW, Australia</w:t>
      </w:r>
    </w:p>
    <w:p w14:paraId="2E4E8D82" w14:textId="77777777" w:rsidR="00F40E17" w:rsidRDefault="00F40E17" w:rsidP="00F40E17">
      <w:pPr>
        <w:spacing w:after="0"/>
        <w:rPr>
          <w:rFonts w:ascii="Arial" w:hAnsi="Arial" w:cs="Arial"/>
          <w:sz w:val="20"/>
          <w:szCs w:val="20"/>
        </w:rPr>
      </w:pPr>
      <w:r w:rsidRPr="00C87FD0">
        <w:rPr>
          <w:rFonts w:ascii="Arial" w:hAnsi="Arial" w:cs="Arial"/>
          <w:sz w:val="20"/>
          <w:szCs w:val="20"/>
        </w:rPr>
        <w:t>Centre for Infectious Diseases and Microbiology, Westmead Institute for Medical Research</w:t>
      </w:r>
      <w:r w:rsidRPr="00C87FD0">
        <w:rPr>
          <w:rFonts w:ascii="Arial" w:hAnsi="Arial" w:cs="Arial"/>
          <w:sz w:val="20"/>
          <w:szCs w:val="20"/>
          <w:vertAlign w:val="superscript"/>
        </w:rPr>
        <w:t>3</w:t>
      </w:r>
      <w:r w:rsidRPr="00C87FD0">
        <w:rPr>
          <w:rFonts w:ascii="Arial" w:hAnsi="Arial" w:cs="Arial"/>
          <w:sz w:val="20"/>
          <w:szCs w:val="20"/>
        </w:rPr>
        <w:t>, Sydney, NSW, Australia</w:t>
      </w:r>
    </w:p>
    <w:p w14:paraId="16978933" w14:textId="77777777" w:rsidR="00F40E17" w:rsidRPr="00C87FD0" w:rsidRDefault="00F40E17" w:rsidP="00F40E17">
      <w:pPr>
        <w:spacing w:after="0" w:line="240" w:lineRule="auto"/>
        <w:rPr>
          <w:rFonts w:ascii="Arial" w:hAnsi="Arial" w:cs="Arial"/>
          <w:sz w:val="20"/>
          <w:szCs w:val="20"/>
        </w:rPr>
      </w:pPr>
      <w:r w:rsidRPr="00C87FD0">
        <w:rPr>
          <w:rFonts w:ascii="Arial" w:hAnsi="Arial" w:cs="Arial"/>
          <w:sz w:val="20"/>
          <w:szCs w:val="20"/>
        </w:rPr>
        <w:t>Westmead Hospital, Western Sydney Local Health District</w:t>
      </w:r>
      <w:r>
        <w:rPr>
          <w:rFonts w:ascii="Arial" w:hAnsi="Arial" w:cs="Arial"/>
          <w:sz w:val="20"/>
          <w:szCs w:val="20"/>
          <w:vertAlign w:val="superscript"/>
        </w:rPr>
        <w:t>4</w:t>
      </w:r>
      <w:r w:rsidRPr="00C87FD0">
        <w:rPr>
          <w:rFonts w:ascii="Arial" w:hAnsi="Arial" w:cs="Arial"/>
          <w:sz w:val="20"/>
          <w:szCs w:val="20"/>
        </w:rPr>
        <w:t>, Sydney, NSW, Australia</w:t>
      </w:r>
    </w:p>
    <w:p w14:paraId="2DD37039" w14:textId="7A731993" w:rsidR="00C315D2" w:rsidRPr="00C315D2" w:rsidRDefault="00C315D2" w:rsidP="00C315D2">
      <w:pPr>
        <w:spacing w:after="0" w:line="240" w:lineRule="auto"/>
        <w:rPr>
          <w:rFonts w:ascii="Arial" w:eastAsia="Calibri" w:hAnsi="Arial" w:cs="Calibri"/>
          <w:bCs/>
          <w:kern w:val="0"/>
          <w:sz w:val="20"/>
          <w:szCs w:val="20"/>
          <w14:ligatures w14:val="none"/>
        </w:rPr>
      </w:pPr>
    </w:p>
    <w:p w14:paraId="15D93483" w14:textId="1CFD3C64" w:rsidR="00C315D2" w:rsidRDefault="00B8473A" w:rsidP="00C315D2">
      <w:pPr>
        <w:spacing w:after="0" w:line="240" w:lineRule="auto"/>
        <w:jc w:val="both"/>
        <w:rPr>
          <w:rFonts w:ascii="Arial" w:hAnsi="Arial" w:cs="Arial"/>
          <w:sz w:val="20"/>
          <w:szCs w:val="20"/>
        </w:rPr>
      </w:pPr>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F40E17" w:rsidRPr="00561440">
        <w:rPr>
          <w:rFonts w:ascii="Arial" w:hAnsi="Arial" w:cs="Arial"/>
          <w:sz w:val="20"/>
          <w:szCs w:val="20"/>
        </w:rPr>
        <w:t xml:space="preserve">The </w:t>
      </w:r>
      <w:r w:rsidR="00F40E17">
        <w:rPr>
          <w:rFonts w:ascii="Arial" w:hAnsi="Arial" w:cs="Arial"/>
          <w:sz w:val="20"/>
          <w:szCs w:val="20"/>
        </w:rPr>
        <w:t>rise</w:t>
      </w:r>
      <w:r w:rsidR="00F40E17" w:rsidRPr="00561440">
        <w:rPr>
          <w:rFonts w:ascii="Arial" w:hAnsi="Arial" w:cs="Arial"/>
          <w:sz w:val="20"/>
          <w:szCs w:val="20"/>
        </w:rPr>
        <w:t xml:space="preserve"> in antimicrobial resistance and </w:t>
      </w:r>
      <w:r w:rsidR="00F40E17">
        <w:rPr>
          <w:rFonts w:ascii="Arial" w:hAnsi="Arial" w:cs="Arial"/>
          <w:sz w:val="20"/>
          <w:szCs w:val="20"/>
        </w:rPr>
        <w:t>biofilm-related infection</w:t>
      </w:r>
      <w:r w:rsidR="00F40E17" w:rsidRPr="00561440">
        <w:rPr>
          <w:rFonts w:ascii="Arial" w:hAnsi="Arial" w:cs="Arial"/>
          <w:sz w:val="20"/>
          <w:szCs w:val="20"/>
        </w:rPr>
        <w:t xml:space="preserve">, along with </w:t>
      </w:r>
      <w:r w:rsidR="00F40E17">
        <w:rPr>
          <w:rFonts w:ascii="Arial" w:hAnsi="Arial" w:cs="Arial"/>
          <w:sz w:val="20"/>
          <w:szCs w:val="20"/>
        </w:rPr>
        <w:t xml:space="preserve">a decline in the </w:t>
      </w:r>
      <w:r w:rsidR="00F40E17" w:rsidRPr="00561440">
        <w:rPr>
          <w:rFonts w:ascii="Arial" w:hAnsi="Arial" w:cs="Arial"/>
          <w:sz w:val="20"/>
          <w:szCs w:val="20"/>
        </w:rPr>
        <w:t xml:space="preserve">development of new medicines, </w:t>
      </w:r>
      <w:r w:rsidR="00F40E17" w:rsidRPr="00B75A5E">
        <w:rPr>
          <w:rFonts w:ascii="Arial" w:hAnsi="Arial" w:cs="Arial"/>
          <w:sz w:val="20"/>
          <w:szCs w:val="20"/>
        </w:rPr>
        <w:t>has necessitated the exploration of alternative strategies to tackle these challenges</w:t>
      </w:r>
      <w:r w:rsidR="00F40E17">
        <w:rPr>
          <w:rFonts w:ascii="Arial" w:hAnsi="Arial" w:cs="Arial"/>
          <w:sz w:val="20"/>
          <w:szCs w:val="20"/>
        </w:rPr>
        <w:t xml:space="preserve"> (1</w:t>
      </w:r>
      <w:r w:rsidR="0062492F">
        <w:rPr>
          <w:rFonts w:ascii="Arial" w:hAnsi="Arial" w:cs="Arial"/>
          <w:sz w:val="20"/>
          <w:szCs w:val="20"/>
        </w:rPr>
        <w:t>,2</w:t>
      </w:r>
      <w:r w:rsidR="00F40E17">
        <w:rPr>
          <w:rFonts w:ascii="Arial" w:hAnsi="Arial" w:cs="Arial"/>
          <w:sz w:val="20"/>
          <w:szCs w:val="20"/>
        </w:rPr>
        <w:t>)</w:t>
      </w:r>
      <w:r w:rsidR="00F40E17" w:rsidRPr="00561440">
        <w:rPr>
          <w:rFonts w:ascii="Arial" w:hAnsi="Arial" w:cs="Arial"/>
          <w:sz w:val="20"/>
          <w:szCs w:val="20"/>
        </w:rPr>
        <w:t xml:space="preserve">. </w:t>
      </w:r>
      <w:r w:rsidR="00F40E17">
        <w:rPr>
          <w:rFonts w:ascii="Arial" w:hAnsi="Arial" w:cs="Arial"/>
          <w:sz w:val="20"/>
          <w:szCs w:val="20"/>
        </w:rPr>
        <w:t>Currently, b</w:t>
      </w:r>
      <w:r w:rsidR="00F40E17" w:rsidRPr="00561440">
        <w:rPr>
          <w:rFonts w:ascii="Arial" w:hAnsi="Arial" w:cs="Arial"/>
          <w:sz w:val="20"/>
          <w:szCs w:val="20"/>
        </w:rPr>
        <w:t>acteriophages (</w:t>
      </w:r>
      <w:proofErr w:type="spellStart"/>
      <w:r w:rsidR="00F40E17" w:rsidRPr="00561440">
        <w:rPr>
          <w:rFonts w:ascii="Arial" w:hAnsi="Arial" w:cs="Arial"/>
          <w:sz w:val="20"/>
          <w:szCs w:val="20"/>
        </w:rPr>
        <w:t>phages</w:t>
      </w:r>
      <w:proofErr w:type="spellEnd"/>
      <w:r w:rsidR="00F40E17" w:rsidRPr="00561440">
        <w:rPr>
          <w:rFonts w:ascii="Arial" w:hAnsi="Arial" w:cs="Arial"/>
          <w:sz w:val="20"/>
          <w:szCs w:val="20"/>
        </w:rPr>
        <w:t>),</w:t>
      </w:r>
      <w:r w:rsidR="00F40E17">
        <w:rPr>
          <w:rFonts w:ascii="Arial" w:hAnsi="Arial" w:cs="Arial"/>
          <w:sz w:val="20"/>
          <w:szCs w:val="20"/>
        </w:rPr>
        <w:t xml:space="preserve"> </w:t>
      </w:r>
      <w:r w:rsidR="00F40E17" w:rsidRPr="00561440">
        <w:rPr>
          <w:rFonts w:ascii="Arial" w:hAnsi="Arial" w:cs="Arial"/>
          <w:sz w:val="20"/>
          <w:szCs w:val="20"/>
        </w:rPr>
        <w:t>viruses</w:t>
      </w:r>
      <w:r w:rsidR="00F40E17">
        <w:rPr>
          <w:rFonts w:ascii="Arial" w:hAnsi="Arial" w:cs="Arial"/>
          <w:sz w:val="20"/>
          <w:szCs w:val="20"/>
        </w:rPr>
        <w:t xml:space="preserve"> capable of infecting and killing </w:t>
      </w:r>
      <w:r w:rsidR="00F40E17" w:rsidRPr="00561440">
        <w:rPr>
          <w:rFonts w:ascii="Arial" w:hAnsi="Arial" w:cs="Arial"/>
          <w:sz w:val="20"/>
          <w:szCs w:val="20"/>
        </w:rPr>
        <w:t xml:space="preserve">bacteria, </w:t>
      </w:r>
      <w:r w:rsidR="00F40E17">
        <w:rPr>
          <w:rFonts w:ascii="Arial" w:hAnsi="Arial" w:cs="Arial"/>
          <w:sz w:val="20"/>
          <w:szCs w:val="20"/>
        </w:rPr>
        <w:t xml:space="preserve">have emerged as </w:t>
      </w:r>
      <w:r w:rsidR="00F40E17" w:rsidRPr="00B75A5E">
        <w:rPr>
          <w:rFonts w:ascii="Arial" w:hAnsi="Arial" w:cs="Arial"/>
          <w:sz w:val="20"/>
          <w:szCs w:val="20"/>
        </w:rPr>
        <w:t>a viable alternative</w:t>
      </w:r>
      <w:r w:rsidR="00F40E17">
        <w:rPr>
          <w:rFonts w:ascii="Arial" w:hAnsi="Arial" w:cs="Arial"/>
          <w:sz w:val="20"/>
          <w:szCs w:val="20"/>
        </w:rPr>
        <w:t xml:space="preserve"> to antibiotics</w:t>
      </w:r>
      <w:r w:rsidR="00F40E17" w:rsidRPr="00B75A5E">
        <w:rPr>
          <w:rFonts w:ascii="Arial" w:hAnsi="Arial" w:cs="Arial"/>
          <w:sz w:val="20"/>
          <w:szCs w:val="20"/>
        </w:rPr>
        <w:t xml:space="preserve"> for combating bacterial infections</w:t>
      </w:r>
      <w:r w:rsidR="00F40E17">
        <w:rPr>
          <w:rFonts w:ascii="Arial" w:hAnsi="Arial" w:cs="Arial"/>
          <w:sz w:val="20"/>
          <w:szCs w:val="20"/>
        </w:rPr>
        <w:t xml:space="preserve"> (3</w:t>
      </w:r>
      <w:r w:rsidR="0062492F">
        <w:rPr>
          <w:rFonts w:ascii="Arial" w:hAnsi="Arial" w:cs="Arial"/>
          <w:sz w:val="20"/>
          <w:szCs w:val="20"/>
        </w:rPr>
        <w:t>,4</w:t>
      </w:r>
      <w:r w:rsidR="00F40E17">
        <w:rPr>
          <w:rFonts w:ascii="Arial" w:hAnsi="Arial" w:cs="Arial"/>
          <w:sz w:val="20"/>
          <w:szCs w:val="20"/>
        </w:rPr>
        <w:t>).</w:t>
      </w:r>
    </w:p>
    <w:p w14:paraId="2AFDA5F3" w14:textId="77777777" w:rsidR="00F40E17" w:rsidRPr="00C315D2" w:rsidRDefault="00F40E17" w:rsidP="00C315D2">
      <w:pPr>
        <w:spacing w:after="0" w:line="240" w:lineRule="auto"/>
        <w:jc w:val="both"/>
        <w:rPr>
          <w:rFonts w:ascii="Arial" w:eastAsia="Calibri" w:hAnsi="Arial" w:cs="Calibri"/>
          <w:b/>
          <w:kern w:val="0"/>
          <w:sz w:val="20"/>
          <w:szCs w:val="20"/>
          <w14:ligatures w14:val="none"/>
        </w:rPr>
      </w:pPr>
    </w:p>
    <w:p w14:paraId="48C0479A" w14:textId="698870E3" w:rsidR="00C315D2" w:rsidRP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00F40E17">
        <w:rPr>
          <w:rFonts w:ascii="Arial" w:eastAsia="Calibri" w:hAnsi="Arial" w:cs="Calibri"/>
          <w:bCs/>
          <w:kern w:val="0"/>
          <w:sz w:val="20"/>
          <w:szCs w:val="20"/>
          <w14:ligatures w14:val="none"/>
        </w:rPr>
        <w:t xml:space="preserve"> </w:t>
      </w:r>
      <w:r w:rsidR="00F40E17" w:rsidRPr="00B75A5E">
        <w:rPr>
          <w:rFonts w:ascii="Arial" w:eastAsia="Times New Roman" w:hAnsi="Arial" w:cs="Arial"/>
          <w:sz w:val="20"/>
          <w:szCs w:val="20"/>
          <w:lang w:val="en-US"/>
        </w:rPr>
        <w:t>In this study, a phage-based conjuga</w:t>
      </w:r>
      <w:r w:rsidR="00F40E17">
        <w:rPr>
          <w:rFonts w:ascii="Arial" w:eastAsia="Times New Roman" w:hAnsi="Arial" w:cs="Arial"/>
          <w:sz w:val="20"/>
          <w:szCs w:val="20"/>
          <w:lang w:val="en-US"/>
        </w:rPr>
        <w:t>te</w:t>
      </w:r>
      <w:r w:rsidR="00F40E17" w:rsidRPr="00B75A5E">
        <w:rPr>
          <w:rFonts w:ascii="Arial" w:eastAsia="Times New Roman" w:hAnsi="Arial" w:cs="Arial"/>
          <w:sz w:val="20"/>
          <w:szCs w:val="20"/>
          <w:lang w:val="en-US"/>
        </w:rPr>
        <w:t xml:space="preserve"> was introduced, comprising phages, antibiotics, and ethylenediaminetetraacetic acid (EDTA) as a biofilm-dispersing agent. </w:t>
      </w:r>
      <w:r w:rsidR="00F40E17" w:rsidRPr="004B47BF">
        <w:rPr>
          <w:rFonts w:ascii="Arial" w:eastAsia="Times New Roman" w:hAnsi="Arial" w:cs="Arial"/>
          <w:i/>
          <w:iCs/>
          <w:sz w:val="20"/>
          <w:szCs w:val="20"/>
          <w:lang w:val="en-US"/>
        </w:rPr>
        <w:t>Pseudomonas</w:t>
      </w:r>
      <w:r w:rsidR="00F40E17" w:rsidRPr="00B75A5E">
        <w:rPr>
          <w:rFonts w:ascii="Arial" w:eastAsia="Times New Roman" w:hAnsi="Arial" w:cs="Arial"/>
          <w:sz w:val="20"/>
          <w:szCs w:val="20"/>
          <w:lang w:val="en-US"/>
        </w:rPr>
        <w:t xml:space="preserve"> phages</w:t>
      </w:r>
      <w:r w:rsidR="00F40E17">
        <w:rPr>
          <w:rFonts w:ascii="Arial" w:eastAsia="Times New Roman" w:hAnsi="Arial" w:cs="Arial"/>
          <w:sz w:val="20"/>
          <w:szCs w:val="20"/>
          <w:lang w:val="en-US"/>
        </w:rPr>
        <w:t xml:space="preserve"> </w:t>
      </w:r>
      <w:r w:rsidR="00F40E17" w:rsidRPr="00B75A5E">
        <w:rPr>
          <w:rFonts w:ascii="Arial" w:eastAsia="Times New Roman" w:hAnsi="Arial" w:cs="Arial"/>
          <w:sz w:val="20"/>
          <w:szCs w:val="20"/>
          <w:lang w:val="en-US"/>
        </w:rPr>
        <w:t xml:space="preserve">were conjugated with therapeutic payloads, and the resulting phage conjugates were employed as phage nanobots. This innovative approach allows for the targeted delivery of small drug quantities to specific sites, ensuring local concentration while avoiding systemic toxicity at off-target sites. The </w:t>
      </w:r>
      <w:r w:rsidR="00F40E17">
        <w:rPr>
          <w:rFonts w:ascii="Arial" w:eastAsia="Times New Roman" w:hAnsi="Arial" w:cs="Arial"/>
          <w:sz w:val="20"/>
          <w:szCs w:val="20"/>
          <w:lang w:val="en-US"/>
        </w:rPr>
        <w:t>formulation</w:t>
      </w:r>
      <w:r w:rsidR="00F40E17" w:rsidRPr="00B75A5E">
        <w:rPr>
          <w:rFonts w:ascii="Arial" w:eastAsia="Times New Roman" w:hAnsi="Arial" w:cs="Arial"/>
          <w:sz w:val="20"/>
          <w:szCs w:val="20"/>
          <w:lang w:val="en-US"/>
        </w:rPr>
        <w:t xml:space="preserve"> involved a </w:t>
      </w:r>
      <w:proofErr w:type="spellStart"/>
      <w:r w:rsidR="00F40E17" w:rsidRPr="00B75A5E">
        <w:rPr>
          <w:rFonts w:ascii="Arial" w:eastAsia="Times New Roman" w:hAnsi="Arial" w:cs="Arial"/>
          <w:sz w:val="20"/>
          <w:szCs w:val="20"/>
          <w:lang w:val="en-US"/>
        </w:rPr>
        <w:t>diblock</w:t>
      </w:r>
      <w:proofErr w:type="spellEnd"/>
      <w:r w:rsidR="00F40E17" w:rsidRPr="00B75A5E">
        <w:rPr>
          <w:rFonts w:ascii="Arial" w:eastAsia="Times New Roman" w:hAnsi="Arial" w:cs="Arial"/>
          <w:sz w:val="20"/>
          <w:szCs w:val="20"/>
          <w:lang w:val="en-US"/>
        </w:rPr>
        <w:t xml:space="preserve"> copolymer linker, </w:t>
      </w:r>
      <w:proofErr w:type="gramStart"/>
      <w:r w:rsidR="00F40E17" w:rsidRPr="00B75A5E">
        <w:rPr>
          <w:rFonts w:ascii="Arial" w:eastAsia="Times New Roman" w:hAnsi="Arial" w:cs="Arial"/>
          <w:sz w:val="20"/>
          <w:szCs w:val="20"/>
          <w:lang w:val="en-US"/>
        </w:rPr>
        <w:t>poly(oligo(</w:t>
      </w:r>
      <w:proofErr w:type="gramEnd"/>
      <w:r w:rsidR="00F40E17" w:rsidRPr="00B75A5E">
        <w:rPr>
          <w:rFonts w:ascii="Arial" w:eastAsia="Times New Roman" w:hAnsi="Arial" w:cs="Arial"/>
          <w:sz w:val="20"/>
          <w:szCs w:val="20"/>
          <w:lang w:val="en-US"/>
        </w:rPr>
        <w:t>ethylene glycol) methyl ether acrylate)-block-poly(3-vinylbenzaldehyde) (POEGA-</w:t>
      </w:r>
      <w:r w:rsidR="00F40E17" w:rsidRPr="00F40E17">
        <w:rPr>
          <w:rFonts w:ascii="Arial" w:eastAsia="Times New Roman" w:hAnsi="Arial" w:cs="Arial"/>
          <w:i/>
          <w:iCs/>
          <w:sz w:val="20"/>
          <w:szCs w:val="20"/>
          <w:lang w:val="en-US"/>
        </w:rPr>
        <w:t>b</w:t>
      </w:r>
      <w:r w:rsidR="00F40E17" w:rsidRPr="00B75A5E">
        <w:rPr>
          <w:rFonts w:ascii="Arial" w:eastAsia="Times New Roman" w:hAnsi="Arial" w:cs="Arial"/>
          <w:sz w:val="20"/>
          <w:szCs w:val="20"/>
          <w:lang w:val="en-US"/>
        </w:rPr>
        <w:t>-PVBA). The first block, a PEG-like polymer, contributes significantly to colloidal stability, while the second block, PVBA, facilitates the reversible attachment of therapeutic agents. This pH-labile linkage is hydrolysable in mildly acidic conditions, common in biofilm environments.</w:t>
      </w:r>
      <w:r w:rsidR="00F40E17">
        <w:rPr>
          <w:rFonts w:ascii="Arial" w:eastAsia="Times New Roman" w:hAnsi="Arial" w:cs="Arial"/>
          <w:sz w:val="20"/>
          <w:szCs w:val="20"/>
          <w:lang w:val="en-US"/>
        </w:rPr>
        <w:t xml:space="preserve"> </w:t>
      </w:r>
      <w:r w:rsidR="00F40E17" w:rsidRPr="00B75A5E">
        <w:rPr>
          <w:rFonts w:ascii="Arial" w:eastAsia="Times New Roman" w:hAnsi="Arial" w:cs="Arial"/>
          <w:sz w:val="20"/>
          <w:szCs w:val="20"/>
          <w:lang w:val="en-US"/>
        </w:rPr>
        <w:t>Poly(2-(</w:t>
      </w:r>
      <w:proofErr w:type="spellStart"/>
      <w:r w:rsidR="00F40E17" w:rsidRPr="00B75A5E">
        <w:rPr>
          <w:rFonts w:ascii="Arial" w:eastAsia="Times New Roman" w:hAnsi="Arial" w:cs="Arial"/>
          <w:sz w:val="20"/>
          <w:szCs w:val="20"/>
          <w:lang w:val="en-US"/>
        </w:rPr>
        <w:t>dimethylamino</w:t>
      </w:r>
      <w:proofErr w:type="spellEnd"/>
      <w:r w:rsidR="00F40E17" w:rsidRPr="00B75A5E">
        <w:rPr>
          <w:rFonts w:ascii="Arial" w:eastAsia="Times New Roman" w:hAnsi="Arial" w:cs="Arial"/>
          <w:sz w:val="20"/>
          <w:szCs w:val="20"/>
          <w:lang w:val="en-US"/>
        </w:rPr>
        <w:t>)ethyl acrylate) (PDMAEA) was</w:t>
      </w:r>
      <w:r w:rsidR="00F40E17">
        <w:rPr>
          <w:rFonts w:ascii="Arial" w:eastAsia="Times New Roman" w:hAnsi="Arial" w:cs="Arial"/>
          <w:sz w:val="20"/>
          <w:szCs w:val="20"/>
          <w:lang w:val="en-US"/>
        </w:rPr>
        <w:t xml:space="preserve"> also</w:t>
      </w:r>
      <w:r w:rsidR="00F40E17" w:rsidRPr="00B75A5E">
        <w:rPr>
          <w:rFonts w:ascii="Arial" w:eastAsia="Times New Roman" w:hAnsi="Arial" w:cs="Arial"/>
          <w:sz w:val="20"/>
          <w:szCs w:val="20"/>
          <w:lang w:val="en-US"/>
        </w:rPr>
        <w:t xml:space="preserve"> incorporated as a linker in the formulation to </w:t>
      </w:r>
      <w:r w:rsidR="00F40E17">
        <w:rPr>
          <w:rFonts w:ascii="Arial" w:eastAsia="Times New Roman" w:hAnsi="Arial" w:cs="Arial"/>
          <w:sz w:val="20"/>
          <w:szCs w:val="20"/>
          <w:lang w:val="en-US"/>
        </w:rPr>
        <w:t>attach</w:t>
      </w:r>
      <w:r w:rsidR="00F40E17" w:rsidRPr="00B75A5E">
        <w:rPr>
          <w:rFonts w:ascii="Arial" w:eastAsia="Times New Roman" w:hAnsi="Arial" w:cs="Arial"/>
          <w:sz w:val="20"/>
          <w:szCs w:val="20"/>
          <w:lang w:val="en-US"/>
        </w:rPr>
        <w:t xml:space="preserve"> EDTA to the phages.</w:t>
      </w:r>
    </w:p>
    <w:p w14:paraId="1387B9C3" w14:textId="77777777" w:rsidR="00C315D2" w:rsidRPr="00C315D2" w:rsidRDefault="00C315D2" w:rsidP="00C315D2">
      <w:pPr>
        <w:spacing w:after="0" w:line="240" w:lineRule="auto"/>
        <w:jc w:val="both"/>
        <w:rPr>
          <w:rFonts w:ascii="Calibri" w:eastAsia="Calibri" w:hAnsi="Calibri" w:cs="Times New Roman"/>
          <w:b/>
          <w:bCs/>
          <w:kern w:val="0"/>
          <w:lang w:val="en-GB"/>
          <w14:ligatures w14:val="none"/>
        </w:rPr>
      </w:pPr>
    </w:p>
    <w:p w14:paraId="58EE2702" w14:textId="11DA7531" w:rsidR="00C315D2" w:rsidRDefault="00795378" w:rsidP="2021B9E9">
      <w:pPr>
        <w:spacing w:after="0" w:line="240" w:lineRule="auto"/>
        <w:jc w:val="both"/>
        <w:rPr>
          <w:rFonts w:ascii="Arial" w:eastAsia="Times New Roman" w:hAnsi="Arial" w:cs="Arial"/>
          <w:sz w:val="20"/>
          <w:szCs w:val="20"/>
          <w:lang w:val="en-US"/>
        </w:rPr>
      </w:pPr>
      <w:r w:rsidRPr="2021B9E9">
        <w:rPr>
          <w:rFonts w:ascii="Arial" w:eastAsia="Calibri" w:hAnsi="Arial" w:cs="Calibri"/>
          <w:b/>
          <w:bCs/>
          <w:kern w:val="0"/>
          <w:sz w:val="20"/>
          <w:szCs w:val="20"/>
          <w14:ligatures w14:val="none"/>
        </w:rPr>
        <w:t>Results.</w:t>
      </w:r>
      <w:r w:rsidR="00C315D2" w:rsidRPr="00C315D2">
        <w:rPr>
          <w:rFonts w:ascii="Calibri" w:eastAsia="Calibri" w:hAnsi="Calibri" w:cs="Times New Roman"/>
          <w:kern w:val="0"/>
          <w:lang w:val="en-GB"/>
          <w14:ligatures w14:val="none"/>
        </w:rPr>
        <w:t xml:space="preserve"> </w:t>
      </w:r>
      <w:r w:rsidR="00F86B49" w:rsidRPr="00B75A5E">
        <w:rPr>
          <w:rFonts w:ascii="Arial" w:eastAsia="Times New Roman" w:hAnsi="Arial" w:cs="Arial"/>
          <w:sz w:val="20"/>
          <w:szCs w:val="20"/>
          <w:lang w:val="en-US"/>
        </w:rPr>
        <w:t>The attachment of antibiotics and EDTA onto the phages demonstrated enhanced dispersal of biofilms into planktonic bacteria, which are susceptible to antimicrobial agents. These phage</w:t>
      </w:r>
      <w:r w:rsidR="00F86B49">
        <w:rPr>
          <w:rFonts w:ascii="Arial" w:eastAsia="Times New Roman" w:hAnsi="Arial" w:cs="Arial"/>
          <w:sz w:val="20"/>
          <w:szCs w:val="20"/>
          <w:lang w:val="en-US"/>
        </w:rPr>
        <w:t>-conjugated formulations</w:t>
      </w:r>
      <w:r w:rsidR="00F86B49" w:rsidRPr="00B75A5E">
        <w:rPr>
          <w:rFonts w:ascii="Arial" w:eastAsia="Times New Roman" w:hAnsi="Arial" w:cs="Arial"/>
          <w:sz w:val="20"/>
          <w:szCs w:val="20"/>
          <w:lang w:val="en-US"/>
        </w:rPr>
        <w:t xml:space="preserve"> exhibited a notable </w:t>
      </w:r>
      <w:proofErr w:type="gramStart"/>
      <w:r w:rsidR="00F86B49" w:rsidRPr="00B75A5E">
        <w:rPr>
          <w:rFonts w:ascii="Arial" w:eastAsia="Times New Roman" w:hAnsi="Arial" w:cs="Arial"/>
          <w:sz w:val="20"/>
          <w:szCs w:val="20"/>
          <w:lang w:val="en-US"/>
        </w:rPr>
        <w:t>antibiofilm</w:t>
      </w:r>
      <w:proofErr w:type="gramEnd"/>
      <w:r w:rsidR="00F86B49" w:rsidRPr="00B75A5E">
        <w:rPr>
          <w:rFonts w:ascii="Arial" w:eastAsia="Times New Roman" w:hAnsi="Arial" w:cs="Arial"/>
          <w:sz w:val="20"/>
          <w:szCs w:val="20"/>
          <w:lang w:val="en-US"/>
        </w:rPr>
        <w:t xml:space="preserve"> effect on </w:t>
      </w:r>
      <w:r w:rsidR="00F86B49" w:rsidRPr="004B47BF">
        <w:rPr>
          <w:rFonts w:ascii="Arial" w:eastAsia="Times New Roman" w:hAnsi="Arial" w:cs="Arial"/>
          <w:i/>
          <w:iCs/>
          <w:sz w:val="20"/>
          <w:szCs w:val="20"/>
          <w:lang w:val="en-US"/>
        </w:rPr>
        <w:t>P. aeruginosa</w:t>
      </w:r>
      <w:r w:rsidR="00F86B49" w:rsidRPr="00B75A5E">
        <w:rPr>
          <w:rFonts w:ascii="Arial" w:eastAsia="Times New Roman" w:hAnsi="Arial" w:cs="Arial"/>
          <w:sz w:val="20"/>
          <w:szCs w:val="20"/>
          <w:lang w:val="en-US"/>
        </w:rPr>
        <w:t xml:space="preserve"> biofilms, leading to a </w:t>
      </w:r>
      <w:r w:rsidR="00F86B49">
        <w:rPr>
          <w:rFonts w:ascii="Arial" w:eastAsia="Times New Roman" w:hAnsi="Arial" w:cs="Arial"/>
          <w:sz w:val="20"/>
          <w:szCs w:val="20"/>
          <w:lang w:val="en-US"/>
        </w:rPr>
        <w:t>significant</w:t>
      </w:r>
      <w:r w:rsidR="00F86B49">
        <w:rPr>
          <w:rFonts w:ascii="Arial" w:eastAsia="Times New Roman" w:hAnsi="Arial" w:cs="Arial"/>
          <w:sz w:val="20"/>
          <w:szCs w:val="20"/>
          <w:lang w:val="en-US"/>
        </w:rPr>
        <w:t xml:space="preserve"> </w:t>
      </w:r>
      <w:r w:rsidR="00F86B49" w:rsidRPr="00F86B49">
        <w:rPr>
          <w:color w:val="000000" w:themeColor="text1"/>
          <w:sz w:val="20"/>
          <w:szCs w:val="20"/>
          <w:lang w:val="en-GB"/>
        </w:rPr>
        <w:t>3-log</w:t>
      </w:r>
      <w:r w:rsidR="00F86B49">
        <w:rPr>
          <w:rFonts w:ascii="Arial" w:eastAsia="Times New Roman" w:hAnsi="Arial" w:cs="Arial"/>
          <w:sz w:val="20"/>
          <w:szCs w:val="20"/>
          <w:lang w:val="en-US"/>
        </w:rPr>
        <w:t xml:space="preserve"> </w:t>
      </w:r>
      <w:r w:rsidR="00F86B49" w:rsidRPr="00B75A5E">
        <w:rPr>
          <w:rFonts w:ascii="Arial" w:eastAsia="Times New Roman" w:hAnsi="Arial" w:cs="Arial"/>
          <w:sz w:val="20"/>
          <w:szCs w:val="20"/>
          <w:lang w:val="en-US"/>
        </w:rPr>
        <w:t xml:space="preserve">reduction in the viability of </w:t>
      </w:r>
      <w:r w:rsidR="00F86B49" w:rsidRPr="004B47BF">
        <w:rPr>
          <w:rFonts w:ascii="Arial" w:eastAsia="Times New Roman" w:hAnsi="Arial" w:cs="Arial"/>
          <w:i/>
          <w:iCs/>
          <w:sz w:val="20"/>
          <w:szCs w:val="20"/>
          <w:lang w:val="en-US"/>
        </w:rPr>
        <w:t>P. aeruginosa</w:t>
      </w:r>
      <w:r w:rsidR="00F86B49" w:rsidRPr="00B75A5E">
        <w:rPr>
          <w:rFonts w:ascii="Arial" w:eastAsia="Times New Roman" w:hAnsi="Arial" w:cs="Arial"/>
          <w:sz w:val="20"/>
          <w:szCs w:val="20"/>
          <w:lang w:val="en-US"/>
        </w:rPr>
        <w:t xml:space="preserve"> biofilm bacteria.</w:t>
      </w:r>
    </w:p>
    <w:p w14:paraId="1AF9BA97" w14:textId="77777777" w:rsidR="00F86B49" w:rsidRPr="00C315D2" w:rsidRDefault="00F86B49" w:rsidP="2021B9E9">
      <w:pPr>
        <w:spacing w:after="0" w:line="240" w:lineRule="auto"/>
        <w:jc w:val="both"/>
        <w:rPr>
          <w:rFonts w:ascii="Arial" w:eastAsia="Calibri" w:hAnsi="Arial" w:cs="Calibri"/>
          <w:kern w:val="0"/>
          <w:sz w:val="20"/>
          <w:szCs w:val="20"/>
          <w:lang w:val="en-US"/>
          <w14:ligatures w14:val="none"/>
        </w:rPr>
      </w:pPr>
    </w:p>
    <w:p w14:paraId="632ACDC9" w14:textId="0992C8BE" w:rsidR="00F86B49" w:rsidRPr="00F86B49" w:rsidRDefault="00F86B49" w:rsidP="00F86B49">
      <w:pPr>
        <w:rPr>
          <w:rFonts w:ascii="Times New Roman" w:eastAsia="Times New Roman" w:hAnsi="Times New Roman" w:cs="Times New Roman"/>
          <w:kern w:val="0"/>
          <w:lang w:eastAsia="zh-CN"/>
          <w14:ligatures w14:val="none"/>
        </w:rPr>
      </w:pPr>
      <w:r>
        <w:rPr>
          <w:rFonts w:ascii="Arial" w:eastAsia="Calibri" w:hAnsi="Arial" w:cs="Calibri"/>
          <w:b/>
          <w:kern w:val="0"/>
          <w:sz w:val="20"/>
          <w:szCs w:val="20"/>
          <w14:ligatures w14:val="none"/>
        </w:rPr>
        <w:t>Conclusion/</w:t>
      </w:r>
      <w:r w:rsidRPr="00C315D2">
        <w:rPr>
          <w:rFonts w:ascii="Arial" w:eastAsia="Calibri" w:hAnsi="Arial" w:cs="Calibri"/>
          <w:b/>
          <w:kern w:val="0"/>
          <w:sz w:val="20"/>
          <w:szCs w:val="20"/>
          <w14:ligatures w14:val="none"/>
        </w:rPr>
        <w:t>Discussion.</w:t>
      </w:r>
      <w:r w:rsidRPr="00C315D2">
        <w:rPr>
          <w:rFonts w:ascii="Arial" w:eastAsia="Calibri" w:hAnsi="Arial" w:cs="Calibri"/>
          <w:bCs/>
          <w:kern w:val="0"/>
          <w:sz w:val="20"/>
          <w:szCs w:val="20"/>
          <w14:ligatures w14:val="none"/>
        </w:rPr>
        <w:t xml:space="preserve"> </w:t>
      </w:r>
      <w:r w:rsidRPr="00F86B49">
        <w:rPr>
          <w:rFonts w:ascii="Arial" w:eastAsia="Times New Roman" w:hAnsi="Arial" w:cs="Arial"/>
          <w:kern w:val="0"/>
          <w:sz w:val="20"/>
          <w:szCs w:val="20"/>
          <w:lang w:eastAsia="zh-CN"/>
          <w14:ligatures w14:val="none"/>
        </w:rPr>
        <w:t xml:space="preserve">The application of phage-conjugated formulations in </w:t>
      </w:r>
      <w:r>
        <w:rPr>
          <w:rFonts w:ascii="Arial" w:eastAsia="Times New Roman" w:hAnsi="Arial" w:cs="Arial"/>
          <w:kern w:val="0"/>
          <w:sz w:val="20"/>
          <w:szCs w:val="20"/>
          <w:lang w:eastAsia="zh-CN"/>
          <w14:ligatures w14:val="none"/>
        </w:rPr>
        <w:t>infection disease</w:t>
      </w:r>
      <w:r w:rsidRPr="00F86B49">
        <w:rPr>
          <w:rFonts w:ascii="Arial" w:eastAsia="Times New Roman" w:hAnsi="Arial" w:cs="Arial"/>
          <w:kern w:val="0"/>
          <w:sz w:val="20"/>
          <w:szCs w:val="20"/>
          <w:lang w:eastAsia="zh-CN"/>
          <w14:ligatures w14:val="none"/>
        </w:rPr>
        <w:t xml:space="preserve"> </w:t>
      </w:r>
      <w:r>
        <w:rPr>
          <w:rFonts w:ascii="Arial" w:eastAsia="Times New Roman" w:hAnsi="Arial" w:cs="Arial"/>
          <w:kern w:val="0"/>
          <w:sz w:val="20"/>
          <w:szCs w:val="20"/>
          <w:lang w:eastAsia="zh-CN"/>
          <w14:ligatures w14:val="none"/>
        </w:rPr>
        <w:t>is</w:t>
      </w:r>
      <w:r w:rsidRPr="00F86B49">
        <w:rPr>
          <w:rFonts w:ascii="Arial" w:eastAsia="Times New Roman" w:hAnsi="Arial" w:cs="Arial"/>
          <w:kern w:val="0"/>
          <w:sz w:val="20"/>
          <w:szCs w:val="20"/>
          <w:lang w:eastAsia="zh-CN"/>
          <w14:ligatures w14:val="none"/>
        </w:rPr>
        <w:t xml:space="preserve"> expected to be greater in effectiveness due to localised sites of action, where phage target specificity and the regulated release of drugs for therapy are of heightened an importance.</w:t>
      </w:r>
      <w:r w:rsidRPr="00F86B49">
        <w:rPr>
          <w:rFonts w:ascii="Times New Roman" w:eastAsia="Times New Roman" w:hAnsi="Times New Roman" w:cs="Times New Roman"/>
          <w:kern w:val="0"/>
          <w:lang w:eastAsia="zh-CN"/>
          <w14:ligatures w14:val="none"/>
        </w:rPr>
        <w:t xml:space="preserve"> </w:t>
      </w:r>
    </w:p>
    <w:p w14:paraId="777A9E0F" w14:textId="7C257A8C" w:rsidR="2021B9E9" w:rsidRPr="00F86B49" w:rsidRDefault="2021B9E9" w:rsidP="2021B9E9">
      <w:pPr>
        <w:spacing w:after="0" w:line="240" w:lineRule="auto"/>
        <w:jc w:val="both"/>
        <w:rPr>
          <w:rFonts w:ascii="Arial" w:eastAsia="Calibri" w:hAnsi="Arial" w:cs="Calibri"/>
          <w:sz w:val="20"/>
          <w:szCs w:val="20"/>
        </w:rPr>
      </w:pPr>
    </w:p>
    <w:p w14:paraId="37012700" w14:textId="7C9C29ED" w:rsidR="00C315D2" w:rsidRDefault="00C315D2" w:rsidP="00C315D2">
      <w:pPr>
        <w:spacing w:after="0" w:line="240" w:lineRule="auto"/>
        <w:jc w:val="both"/>
        <w:rPr>
          <w:rFonts w:ascii="Arial" w:eastAsia="Calibri" w:hAnsi="Arial" w:cs="Calibri"/>
          <w:b/>
          <w:kern w:val="0"/>
          <w:sz w:val="20"/>
          <w:szCs w:val="20"/>
          <w14:ligatures w14:val="none"/>
        </w:rPr>
      </w:pPr>
      <w:r w:rsidRPr="00C315D2">
        <w:rPr>
          <w:rFonts w:ascii="Calibri" w:eastAsia="Calibri" w:hAnsi="Calibri" w:cs="Times New Roman"/>
          <w:noProof/>
          <w:kern w:val="0"/>
          <w:lang w:val="en-GB"/>
          <w14:ligatures w14:val="none"/>
        </w:rPr>
        <w:drawing>
          <wp:anchor distT="0" distB="0" distL="114300" distR="114300" simplePos="0" relativeHeight="251658240" behindDoc="0" locked="0" layoutInCell="1" allowOverlap="1" wp14:anchorId="26DAE144" wp14:editId="4320FA96">
            <wp:simplePos x="0" y="0"/>
            <wp:positionH relativeFrom="margin">
              <wp:align>left</wp:align>
            </wp:positionH>
            <wp:positionV relativeFrom="paragraph">
              <wp:posOffset>147320</wp:posOffset>
            </wp:positionV>
            <wp:extent cx="2704465" cy="942975"/>
            <wp:effectExtent l="0" t="0" r="635" b="0"/>
            <wp:wrapSquare wrapText="bothSides"/>
            <wp:docPr id="581500017" name="Picture 1" descr="A close-up of a bridge&#10;&#10;Description automatically generated">
              <a:extLst xmlns:a="http://schemas.openxmlformats.org/drawingml/2006/main">
                <a:ext uri="{FF2B5EF4-FFF2-40B4-BE49-F238E27FC236}">
                  <a16:creationId xmlns:a16="http://schemas.microsoft.com/office/drawing/2014/main" id="{B9B54AFF-6206-455A-BF44-D8C8736EB3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500017" name="Picture 1" descr="A close-up of a bridg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06211" cy="943552"/>
                    </a:xfrm>
                    <a:prstGeom prst="rect">
                      <a:avLst/>
                    </a:prstGeom>
                  </pic:spPr>
                </pic:pic>
              </a:graphicData>
            </a:graphic>
            <wp14:sizeRelH relativeFrom="margin">
              <wp14:pctWidth>0</wp14:pctWidth>
            </wp14:sizeRelH>
            <wp14:sizeRelV relativeFrom="margin">
              <wp14:pctHeight>0</wp14:pctHeight>
            </wp14:sizeRelV>
          </wp:anchor>
        </w:drawing>
      </w:r>
    </w:p>
    <w:p w14:paraId="1AF10CAD" w14:textId="77777777" w:rsidR="00C315D2" w:rsidRPr="00C315D2" w:rsidRDefault="00C315D2" w:rsidP="00C315D2">
      <w:pPr>
        <w:spacing w:after="0" w:line="240" w:lineRule="auto"/>
        <w:jc w:val="both"/>
        <w:rPr>
          <w:rFonts w:ascii="Arial" w:eastAsia="Calibri" w:hAnsi="Arial" w:cs="Calibri"/>
          <w:b/>
          <w:kern w:val="0"/>
          <w:sz w:val="20"/>
          <w:szCs w:val="20"/>
          <w14:ligatures w14:val="none"/>
        </w:rPr>
      </w:pPr>
    </w:p>
    <w:p w14:paraId="166318AE" w14:textId="77777777" w:rsidR="00F86B49" w:rsidRDefault="00F86B49" w:rsidP="00F40E17">
      <w:pPr>
        <w:spacing w:after="0" w:line="240" w:lineRule="auto"/>
        <w:jc w:val="both"/>
        <w:rPr>
          <w:rFonts w:ascii="Arial" w:eastAsia="Calibri" w:hAnsi="Arial" w:cs="Calibri"/>
          <w:b/>
          <w:kern w:val="0"/>
          <w:sz w:val="20"/>
          <w:szCs w:val="20"/>
          <w14:ligatures w14:val="none"/>
        </w:rPr>
      </w:pPr>
    </w:p>
    <w:p w14:paraId="5F072D85" w14:textId="77777777" w:rsidR="00F86B49" w:rsidRDefault="00F86B49" w:rsidP="00F40E17">
      <w:pPr>
        <w:spacing w:after="0" w:line="240" w:lineRule="auto"/>
        <w:jc w:val="both"/>
        <w:rPr>
          <w:rFonts w:ascii="Arial" w:eastAsia="Calibri" w:hAnsi="Arial" w:cs="Calibri"/>
          <w:b/>
          <w:kern w:val="0"/>
          <w:sz w:val="20"/>
          <w:szCs w:val="20"/>
          <w14:ligatures w14:val="none"/>
        </w:rPr>
      </w:pPr>
    </w:p>
    <w:p w14:paraId="5307A4DA" w14:textId="77777777" w:rsidR="00F86B49" w:rsidRDefault="00F86B49" w:rsidP="00F40E17">
      <w:pPr>
        <w:spacing w:after="0" w:line="240" w:lineRule="auto"/>
        <w:jc w:val="both"/>
        <w:rPr>
          <w:rFonts w:ascii="Arial" w:eastAsia="Calibri" w:hAnsi="Arial" w:cs="Calibri"/>
          <w:b/>
          <w:kern w:val="0"/>
          <w:sz w:val="20"/>
          <w:szCs w:val="20"/>
          <w14:ligatures w14:val="none"/>
        </w:rPr>
      </w:pPr>
    </w:p>
    <w:p w14:paraId="7020E0A4" w14:textId="77777777" w:rsidR="00F86B49" w:rsidRDefault="00F86B49" w:rsidP="00F40E17">
      <w:pPr>
        <w:spacing w:after="0" w:line="240" w:lineRule="auto"/>
        <w:jc w:val="both"/>
        <w:rPr>
          <w:rFonts w:ascii="Arial" w:eastAsia="Calibri" w:hAnsi="Arial" w:cs="Calibri"/>
          <w:b/>
          <w:kern w:val="0"/>
          <w:sz w:val="20"/>
          <w:szCs w:val="20"/>
          <w14:ligatures w14:val="none"/>
        </w:rPr>
      </w:pPr>
    </w:p>
    <w:p w14:paraId="7AC791EB" w14:textId="77777777" w:rsidR="00F86B49" w:rsidRDefault="00F86B49" w:rsidP="00F40E17">
      <w:pPr>
        <w:spacing w:after="0" w:line="240" w:lineRule="auto"/>
        <w:jc w:val="both"/>
        <w:rPr>
          <w:rFonts w:ascii="Arial" w:eastAsia="Calibri" w:hAnsi="Arial" w:cs="Calibri"/>
          <w:b/>
          <w:kern w:val="0"/>
          <w:sz w:val="20"/>
          <w:szCs w:val="20"/>
          <w14:ligatures w14:val="none"/>
        </w:rPr>
      </w:pPr>
    </w:p>
    <w:p w14:paraId="0D4167BD" w14:textId="77777777" w:rsidR="00F86B49" w:rsidRDefault="00F86B49" w:rsidP="00F40E17">
      <w:pPr>
        <w:spacing w:after="0" w:line="240" w:lineRule="auto"/>
        <w:jc w:val="both"/>
        <w:rPr>
          <w:rFonts w:ascii="Arial" w:eastAsia="Calibri" w:hAnsi="Arial" w:cs="Calibri"/>
          <w:b/>
          <w:kern w:val="0"/>
          <w:sz w:val="20"/>
          <w:szCs w:val="20"/>
          <w14:ligatures w14:val="none"/>
        </w:rPr>
      </w:pPr>
    </w:p>
    <w:p w14:paraId="6783C8A1" w14:textId="5535D536" w:rsidR="00F40E17" w:rsidRDefault="00C315D2" w:rsidP="00F40E17">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References:</w:t>
      </w:r>
      <w:r w:rsidRPr="00C315D2">
        <w:rPr>
          <w:rFonts w:ascii="Arial" w:eastAsia="Calibri" w:hAnsi="Arial" w:cs="Calibri"/>
          <w:bCs/>
          <w:kern w:val="0"/>
          <w:sz w:val="20"/>
          <w:szCs w:val="20"/>
          <w14:ligatures w14:val="none"/>
        </w:rPr>
        <w:t xml:space="preserve"> </w:t>
      </w:r>
    </w:p>
    <w:p w14:paraId="3BC839E8" w14:textId="77777777" w:rsidR="00F40E17" w:rsidRPr="00F40E17" w:rsidRDefault="00F40E17" w:rsidP="00F40E17">
      <w:pPr>
        <w:spacing w:after="0" w:line="240" w:lineRule="auto"/>
        <w:jc w:val="both"/>
        <w:rPr>
          <w:rFonts w:ascii="Arial" w:hAnsi="Arial" w:cs="Arial"/>
          <w:sz w:val="20"/>
          <w:szCs w:val="20"/>
        </w:rPr>
      </w:pPr>
      <w:r w:rsidRPr="00F40E17">
        <w:rPr>
          <w:rFonts w:ascii="Arial" w:hAnsi="Arial" w:cs="Arial"/>
          <w:sz w:val="20"/>
          <w:szCs w:val="20"/>
        </w:rPr>
        <w:t>(1) D’Costa, V.M., et al., Antibiotic resistance is ancient. Nature, 2011. 477(7365): p. 457-461.</w:t>
      </w:r>
    </w:p>
    <w:p w14:paraId="0B6248C9" w14:textId="77777777" w:rsidR="00F40E17" w:rsidRPr="00F40E17" w:rsidRDefault="00F40E17" w:rsidP="00F40E17">
      <w:pPr>
        <w:spacing w:after="0" w:line="240" w:lineRule="auto"/>
        <w:jc w:val="both"/>
        <w:rPr>
          <w:rFonts w:ascii="Arial" w:hAnsi="Arial" w:cs="Arial"/>
          <w:sz w:val="20"/>
          <w:szCs w:val="20"/>
        </w:rPr>
      </w:pPr>
      <w:r w:rsidRPr="00F40E17">
        <w:rPr>
          <w:rFonts w:ascii="Arial" w:hAnsi="Arial" w:cs="Arial"/>
          <w:sz w:val="20"/>
          <w:szCs w:val="20"/>
        </w:rPr>
        <w:t>(2) Høiby, N., et al., The clinical impact of bacterial biofilms. International journal of oral science, 2011. 3(2): p. 55-65.</w:t>
      </w:r>
    </w:p>
    <w:p w14:paraId="548EEFC8" w14:textId="77777777" w:rsidR="00F40E17" w:rsidRPr="00F40E17" w:rsidRDefault="00F40E17" w:rsidP="00F40E17">
      <w:pPr>
        <w:spacing w:after="0" w:line="240" w:lineRule="auto"/>
        <w:jc w:val="both"/>
        <w:rPr>
          <w:rFonts w:ascii="Arial" w:hAnsi="Arial" w:cs="Arial"/>
          <w:sz w:val="20"/>
          <w:szCs w:val="20"/>
        </w:rPr>
      </w:pPr>
      <w:r w:rsidRPr="00F40E17">
        <w:rPr>
          <w:rFonts w:ascii="Arial" w:hAnsi="Arial" w:cs="Arial"/>
          <w:sz w:val="20"/>
          <w:szCs w:val="20"/>
        </w:rPr>
        <w:t>(3) Abedon, S.T. and C. Thomas-Abedon, Phage therapy pharmacology. Current pharmaceutical biotechnology, 2010. 11(1): p. 28-47.</w:t>
      </w:r>
    </w:p>
    <w:p w14:paraId="0A919E4E" w14:textId="77777777" w:rsidR="00F40E17" w:rsidRPr="00F40E17" w:rsidRDefault="00F40E17" w:rsidP="00F40E17">
      <w:pPr>
        <w:spacing w:after="0" w:line="240" w:lineRule="auto"/>
        <w:jc w:val="both"/>
        <w:rPr>
          <w:rFonts w:ascii="Arial" w:hAnsi="Arial" w:cs="Arial"/>
          <w:sz w:val="20"/>
          <w:szCs w:val="20"/>
        </w:rPr>
      </w:pPr>
      <w:r w:rsidRPr="00F40E17">
        <w:rPr>
          <w:rFonts w:ascii="Arial" w:hAnsi="Arial" w:cs="Arial"/>
          <w:sz w:val="20"/>
          <w:szCs w:val="20"/>
        </w:rPr>
        <w:t>(4) Górski, A., et al., Phage therapy: combating infections with potential for evolving from merely a treatment for complications to targeting diseases. Frontiers in microbiology, 2016. 7: p. 1515.</w:t>
      </w:r>
    </w:p>
    <w:p w14:paraId="70CD2147" w14:textId="0B725234" w:rsidR="00F40E17" w:rsidRPr="00FB0436" w:rsidRDefault="00F40E17" w:rsidP="00F40E17">
      <w:pPr>
        <w:pStyle w:val="EndNoteBibliography"/>
        <w:spacing w:after="0"/>
        <w:ind w:left="720" w:hanging="720"/>
        <w:rPr>
          <w:rFonts w:ascii="Arial" w:hAnsi="Arial" w:cs="Arial"/>
          <w:sz w:val="20"/>
          <w:szCs w:val="20"/>
        </w:rPr>
      </w:pPr>
      <w:r>
        <w:fldChar w:fldCharType="begin"/>
      </w:r>
      <w:r>
        <w:instrText xml:space="preserve"> ADDIN EN.REFLIST </w:instrText>
      </w:r>
      <w:r>
        <w:fldChar w:fldCharType="separate"/>
      </w:r>
    </w:p>
    <w:p w14:paraId="7D6E388F" w14:textId="08829490" w:rsidR="00113BB7" w:rsidRPr="00F40E17" w:rsidRDefault="00F40E17" w:rsidP="00F40E17">
      <w:pPr>
        <w:spacing w:after="0" w:line="240" w:lineRule="auto"/>
        <w:jc w:val="both"/>
        <w:rPr>
          <w:rFonts w:ascii="Arial" w:eastAsia="Calibri" w:hAnsi="Arial" w:cs="Calibri"/>
          <w:bCs/>
          <w:kern w:val="0"/>
          <w:sz w:val="20"/>
          <w:szCs w:val="20"/>
          <w14:ligatures w14:val="none"/>
        </w:rPr>
      </w:pPr>
      <w:r>
        <w:fldChar w:fldCharType="end"/>
      </w:r>
    </w:p>
    <w:sectPr w:rsidR="00113BB7" w:rsidRPr="00F40E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56D"/>
    <w:multiLevelType w:val="hybridMultilevel"/>
    <w:tmpl w:val="F94A3932"/>
    <w:lvl w:ilvl="0" w:tplc="48CAE6B2">
      <w:start w:val="10"/>
      <w:numFmt w:val="decimal"/>
      <w:lvlText w:val="(%1"/>
      <w:lvlJc w:val="left"/>
      <w:pPr>
        <w:ind w:left="720" w:hanging="360"/>
      </w:pPr>
      <w:rPr>
        <w:rFonts w:ascii="Arial" w:hAnsi="Arial" w:cs="Arial" w:hint="default"/>
        <w:color w:val="222222"/>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ACF3568"/>
    <w:multiLevelType w:val="hybridMultilevel"/>
    <w:tmpl w:val="42064040"/>
    <w:lvl w:ilvl="0" w:tplc="0D98E1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943750"/>
    <w:multiLevelType w:val="hybridMultilevel"/>
    <w:tmpl w:val="EF7E592A"/>
    <w:lvl w:ilvl="0" w:tplc="4B52EE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F2876ED"/>
    <w:multiLevelType w:val="hybridMultilevel"/>
    <w:tmpl w:val="28E438B4"/>
    <w:lvl w:ilvl="0" w:tplc="B85087EE">
      <w:start w:val="1"/>
      <w:numFmt w:val="decimal"/>
      <w:lvlText w:val="(%1)"/>
      <w:lvlJc w:val="left"/>
      <w:pPr>
        <w:ind w:left="720" w:hanging="360"/>
      </w:pPr>
      <w:rPr>
        <w:rFonts w:ascii="Arial" w:eastAsia="Calibri" w:hAnsi="Arial" w:cs="Calibri"/>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39885325">
    <w:abstractNumId w:val="2"/>
  </w:num>
  <w:num w:numId="2" w16cid:durableId="1856141895">
    <w:abstractNumId w:val="4"/>
  </w:num>
  <w:num w:numId="3" w16cid:durableId="1466045321">
    <w:abstractNumId w:val="0"/>
  </w:num>
  <w:num w:numId="4" w16cid:durableId="1115634915">
    <w:abstractNumId w:val="1"/>
  </w:num>
  <w:num w:numId="5" w16cid:durableId="1109928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107368"/>
    <w:rsid w:val="00113BB7"/>
    <w:rsid w:val="002017E6"/>
    <w:rsid w:val="002816F0"/>
    <w:rsid w:val="00294059"/>
    <w:rsid w:val="003206E4"/>
    <w:rsid w:val="003A6D5C"/>
    <w:rsid w:val="004A51B6"/>
    <w:rsid w:val="00510CF8"/>
    <w:rsid w:val="00575A29"/>
    <w:rsid w:val="00601754"/>
    <w:rsid w:val="0062492F"/>
    <w:rsid w:val="006A34BE"/>
    <w:rsid w:val="006F3F1C"/>
    <w:rsid w:val="007141F2"/>
    <w:rsid w:val="007561D8"/>
    <w:rsid w:val="00795378"/>
    <w:rsid w:val="00796206"/>
    <w:rsid w:val="007C367E"/>
    <w:rsid w:val="008071C5"/>
    <w:rsid w:val="00906D34"/>
    <w:rsid w:val="00933DC9"/>
    <w:rsid w:val="00936D4C"/>
    <w:rsid w:val="009523F9"/>
    <w:rsid w:val="009650DF"/>
    <w:rsid w:val="009B1CBB"/>
    <w:rsid w:val="009F0255"/>
    <w:rsid w:val="00A0516D"/>
    <w:rsid w:val="00B4721D"/>
    <w:rsid w:val="00B8473A"/>
    <w:rsid w:val="00C21815"/>
    <w:rsid w:val="00C315D2"/>
    <w:rsid w:val="00C353D8"/>
    <w:rsid w:val="00CF5A91"/>
    <w:rsid w:val="00D02BB1"/>
    <w:rsid w:val="00D45A74"/>
    <w:rsid w:val="00D7428F"/>
    <w:rsid w:val="00EC3746"/>
    <w:rsid w:val="00F40E17"/>
    <w:rsid w:val="00F539FB"/>
    <w:rsid w:val="00F85528"/>
    <w:rsid w:val="00F86B49"/>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customStyle="1" w:styleId="EndNoteBibliography">
    <w:name w:val="EndNote Bibliography"/>
    <w:basedOn w:val="Normal"/>
    <w:link w:val="EndNoteBibliographyChar"/>
    <w:rsid w:val="00F40E17"/>
    <w:pPr>
      <w:spacing w:line="240" w:lineRule="auto"/>
      <w:jc w:val="center"/>
    </w:pPr>
    <w:rPr>
      <w:rFonts w:ascii="Calibri" w:eastAsiaTheme="minorEastAsia" w:hAnsi="Calibri" w:cs="Calibri"/>
      <w:noProof/>
      <w:kern w:val="0"/>
      <w:sz w:val="22"/>
      <w:szCs w:val="22"/>
      <w:lang w:val="en-US"/>
      <w14:ligatures w14:val="none"/>
    </w:rPr>
  </w:style>
  <w:style w:type="character" w:customStyle="1" w:styleId="EndNoteBibliographyChar">
    <w:name w:val="EndNote Bibliography Char"/>
    <w:basedOn w:val="DefaultParagraphFont"/>
    <w:link w:val="EndNoteBibliography"/>
    <w:rsid w:val="00F40E17"/>
    <w:rPr>
      <w:rFonts w:ascii="Calibri" w:eastAsiaTheme="minorEastAsia" w:hAnsi="Calibri" w:cs="Calibri"/>
      <w:noProof/>
      <w:kern w:val="0"/>
      <w:sz w:val="22"/>
      <w:szCs w:val="22"/>
      <w:lang w:val="en-US"/>
      <w14:ligatures w14:val="none"/>
    </w:rPr>
  </w:style>
  <w:style w:type="paragraph" w:customStyle="1" w:styleId="EndNoteBibliographyTitle">
    <w:name w:val="EndNote Bibliography Title"/>
    <w:basedOn w:val="Normal"/>
    <w:link w:val="EndNoteBibliographyTitleChar"/>
    <w:rsid w:val="00F40E17"/>
    <w:pPr>
      <w:spacing w:after="0"/>
      <w:jc w:val="center"/>
    </w:pPr>
    <w:rPr>
      <w:rFonts w:ascii="Aptos" w:eastAsia="DengXian" w:hAnsi="Aptos"/>
      <w:noProof/>
      <w:lang w:eastAsia="zh-CN"/>
    </w:rPr>
  </w:style>
  <w:style w:type="character" w:customStyle="1" w:styleId="EndNoteBibliographyTitleChar">
    <w:name w:val="EndNote Bibliography Title Char"/>
    <w:basedOn w:val="DefaultParagraphFont"/>
    <w:link w:val="EndNoteBibliographyTitle"/>
    <w:rsid w:val="00F40E17"/>
    <w:rPr>
      <w:rFonts w:ascii="Aptos" w:eastAsia="DengXian" w:hAnsi="Aptos"/>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7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2.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customXml/itemProps3.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Huiping Huang</cp:lastModifiedBy>
  <cp:revision>5</cp:revision>
  <dcterms:created xsi:type="dcterms:W3CDTF">2025-05-30T06:23:00Z</dcterms:created>
  <dcterms:modified xsi:type="dcterms:W3CDTF">2025-05-30T11:23:00Z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