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CCA93" w14:textId="6E5278A5" w:rsidR="00711813" w:rsidRPr="00DF1C8E" w:rsidRDefault="00396744" w:rsidP="00396744">
      <w:pPr>
        <w:spacing w:after="120"/>
        <w:jc w:val="center"/>
        <w:rPr>
          <w:rFonts w:ascii="Calibri" w:hAnsi="Calibri" w:cs="Calibri"/>
          <w:b/>
          <w:sz w:val="28"/>
          <w:szCs w:val="28"/>
          <w:lang w:val="en-AU"/>
        </w:rPr>
      </w:pPr>
      <w:bookmarkStart w:id="0" w:name="_GoBack"/>
      <w:bookmarkEnd w:id="0"/>
      <w:r w:rsidRPr="00396744">
        <w:rPr>
          <w:rFonts w:ascii="Calibri" w:hAnsi="Calibri" w:cs="Calibri"/>
          <w:b/>
          <w:sz w:val="28"/>
          <w:szCs w:val="28"/>
          <w:lang w:val="en-AU"/>
        </w:rPr>
        <w:t xml:space="preserve">Effect of </w:t>
      </w:r>
      <w:r w:rsidR="003E4778">
        <w:rPr>
          <w:rFonts w:ascii="Calibri" w:hAnsi="Calibri" w:cs="Calibri"/>
          <w:b/>
          <w:sz w:val="28"/>
          <w:szCs w:val="28"/>
          <w:lang w:val="en-AU"/>
        </w:rPr>
        <w:t xml:space="preserve">Various </w:t>
      </w:r>
      <w:r w:rsidRPr="00396744">
        <w:rPr>
          <w:rFonts w:ascii="Calibri" w:hAnsi="Calibri" w:cs="Calibri"/>
          <w:b/>
          <w:sz w:val="28"/>
          <w:szCs w:val="28"/>
          <w:lang w:val="en-AU"/>
        </w:rPr>
        <w:t>Urea Concentration</w:t>
      </w:r>
      <w:r w:rsidR="004A7C0A">
        <w:rPr>
          <w:rFonts w:ascii="Calibri" w:hAnsi="Calibri" w:cs="Calibri"/>
          <w:b/>
          <w:sz w:val="28"/>
          <w:szCs w:val="28"/>
          <w:lang w:val="en-AU"/>
        </w:rPr>
        <w:t>s</w:t>
      </w:r>
      <w:r w:rsidRPr="00396744">
        <w:rPr>
          <w:rFonts w:ascii="Calibri" w:hAnsi="Calibri" w:cs="Calibri"/>
          <w:b/>
          <w:sz w:val="28"/>
          <w:szCs w:val="28"/>
          <w:lang w:val="en-AU"/>
        </w:rPr>
        <w:t xml:space="preserve"> on Nitrogen Slow Release from </w:t>
      </w:r>
      <w:r w:rsidR="000D4011">
        <w:rPr>
          <w:rFonts w:ascii="Calibri" w:hAnsi="Calibri" w:cs="Calibri"/>
          <w:b/>
          <w:sz w:val="28"/>
          <w:szCs w:val="28"/>
          <w:lang w:val="en-AU"/>
        </w:rPr>
        <w:t xml:space="preserve">PLLA </w:t>
      </w:r>
      <w:r w:rsidR="009D5E36">
        <w:rPr>
          <w:rFonts w:ascii="Calibri" w:hAnsi="Calibri" w:cs="Calibri"/>
          <w:b/>
          <w:sz w:val="28"/>
          <w:szCs w:val="28"/>
          <w:lang w:val="en-AU"/>
        </w:rPr>
        <w:t>N</w:t>
      </w:r>
      <w:r w:rsidRPr="00396744">
        <w:rPr>
          <w:rFonts w:ascii="Calibri" w:hAnsi="Calibri" w:cs="Calibri"/>
          <w:b/>
          <w:sz w:val="28"/>
          <w:szCs w:val="28"/>
          <w:lang w:val="en-AU"/>
        </w:rPr>
        <w:t>anofiber Mat</w:t>
      </w:r>
    </w:p>
    <w:p w14:paraId="77B3BF39" w14:textId="06B1CEAD" w:rsidR="005B7454" w:rsidRPr="001C5EDE" w:rsidRDefault="005B7454" w:rsidP="004A7C0A">
      <w:pPr>
        <w:contextualSpacing/>
        <w:jc w:val="center"/>
        <w:rPr>
          <w:rFonts w:ascii="Calibri" w:hAnsi="Calibri" w:cs="Calibri"/>
          <w:i/>
          <w:vertAlign w:val="superscript"/>
          <w:lang w:val="en-AU"/>
        </w:rPr>
      </w:pPr>
      <w:r w:rsidRPr="005B7454">
        <w:rPr>
          <w:rFonts w:ascii="Calibri" w:hAnsi="Calibri" w:cs="Calibri"/>
          <w:i/>
          <w:lang w:val="en-AU"/>
        </w:rPr>
        <w:t>Leila Javazmi</w:t>
      </w:r>
      <w:r w:rsidR="001C5EDE">
        <w:rPr>
          <w:rFonts w:ascii="Calibri" w:hAnsi="Calibri" w:cs="Calibri"/>
          <w:i/>
          <w:lang w:val="en-AU"/>
        </w:rPr>
        <w:t xml:space="preserve"> </w:t>
      </w:r>
      <w:r w:rsidR="001C5EDE">
        <w:rPr>
          <w:rFonts w:ascii="Calibri" w:hAnsi="Calibri" w:cs="Calibri"/>
          <w:i/>
          <w:vertAlign w:val="superscript"/>
          <w:lang w:val="en-AU"/>
        </w:rPr>
        <w:t>A, B</w:t>
      </w:r>
      <w:r w:rsidRPr="005B7454">
        <w:rPr>
          <w:rFonts w:ascii="Calibri" w:hAnsi="Calibri" w:cs="Calibri"/>
          <w:i/>
          <w:lang w:val="en-AU"/>
        </w:rPr>
        <w:t>, Tobias Low</w:t>
      </w:r>
      <w:r w:rsidR="001C5EDE">
        <w:rPr>
          <w:rFonts w:ascii="Calibri" w:hAnsi="Calibri" w:cs="Calibri"/>
          <w:i/>
          <w:lang w:val="en-AU"/>
        </w:rPr>
        <w:t xml:space="preserve"> </w:t>
      </w:r>
      <w:r w:rsidR="001C5EDE">
        <w:rPr>
          <w:rFonts w:ascii="Calibri" w:hAnsi="Calibri" w:cs="Calibri"/>
          <w:i/>
          <w:vertAlign w:val="superscript"/>
          <w:lang w:val="en-AU"/>
        </w:rPr>
        <w:t>A</w:t>
      </w:r>
      <w:r w:rsidRPr="005B7454">
        <w:rPr>
          <w:rFonts w:ascii="Calibri" w:hAnsi="Calibri" w:cs="Calibri"/>
          <w:i/>
          <w:lang w:val="en-AU"/>
        </w:rPr>
        <w:t xml:space="preserve">, </w:t>
      </w:r>
      <w:r w:rsidR="003E4778" w:rsidRPr="005B7454">
        <w:rPr>
          <w:rFonts w:ascii="Calibri" w:hAnsi="Calibri" w:cs="Calibri"/>
          <w:i/>
          <w:lang w:val="en-AU"/>
        </w:rPr>
        <w:t>Anthony Young</w:t>
      </w:r>
      <w:r w:rsidR="003E4778">
        <w:rPr>
          <w:rFonts w:ascii="Calibri" w:hAnsi="Calibri" w:cs="Calibri"/>
          <w:i/>
          <w:lang w:val="en-AU"/>
        </w:rPr>
        <w:t xml:space="preserve"> </w:t>
      </w:r>
      <w:r w:rsidR="003E4778">
        <w:rPr>
          <w:rFonts w:ascii="Calibri" w:hAnsi="Calibri" w:cs="Calibri"/>
          <w:i/>
          <w:vertAlign w:val="superscript"/>
          <w:lang w:val="en-AU"/>
        </w:rPr>
        <w:t>B</w:t>
      </w:r>
      <w:r w:rsidRPr="005B7454">
        <w:rPr>
          <w:rFonts w:ascii="Calibri" w:hAnsi="Calibri" w:cs="Calibri"/>
          <w:i/>
          <w:lang w:val="en-AU"/>
        </w:rPr>
        <w:t xml:space="preserve">, and </w:t>
      </w:r>
      <w:r w:rsidR="003E4778" w:rsidRPr="005B7454">
        <w:rPr>
          <w:rFonts w:ascii="Calibri" w:hAnsi="Calibri" w:cs="Calibri"/>
          <w:i/>
          <w:lang w:val="en-AU"/>
        </w:rPr>
        <w:t>Gavin Ash</w:t>
      </w:r>
      <w:r w:rsidR="003E4778">
        <w:rPr>
          <w:rFonts w:ascii="Calibri" w:hAnsi="Calibri" w:cs="Calibri"/>
          <w:i/>
          <w:lang w:val="en-AU"/>
        </w:rPr>
        <w:t xml:space="preserve"> </w:t>
      </w:r>
      <w:r w:rsidR="003E4778">
        <w:rPr>
          <w:rFonts w:ascii="Calibri" w:hAnsi="Calibri" w:cs="Calibri"/>
          <w:i/>
          <w:vertAlign w:val="superscript"/>
          <w:lang w:val="en-AU"/>
        </w:rPr>
        <w:t>B</w:t>
      </w:r>
      <w:r w:rsidR="003E4778" w:rsidRPr="005B7454">
        <w:rPr>
          <w:rFonts w:ascii="Calibri" w:hAnsi="Calibri" w:cs="Calibri"/>
          <w:i/>
          <w:lang w:val="en-AU"/>
        </w:rPr>
        <w:t xml:space="preserve"> </w:t>
      </w:r>
    </w:p>
    <w:p w14:paraId="321914CE" w14:textId="655EF389" w:rsidR="00297CB0" w:rsidRPr="00666B5F" w:rsidRDefault="001C5EDE" w:rsidP="004A7C0A">
      <w:pPr>
        <w:ind w:left="283" w:right="283"/>
        <w:contextualSpacing/>
        <w:jc w:val="both"/>
        <w:rPr>
          <w:sz w:val="18"/>
          <w:szCs w:val="18"/>
        </w:rPr>
      </w:pP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297CB0" w:rsidRPr="00297CB0">
        <w:rPr>
          <w:rFonts w:ascii="Calibri" w:hAnsi="Calibri" w:cs="Calibri"/>
          <w:sz w:val="22"/>
          <w:szCs w:val="22"/>
          <w:lang w:val="en-AU"/>
        </w:rPr>
        <w:t>School</w:t>
      </w:r>
      <w:proofErr w:type="spellEnd"/>
      <w:r w:rsidR="00297CB0" w:rsidRPr="00297CB0">
        <w:rPr>
          <w:rFonts w:ascii="Calibri" w:hAnsi="Calibri" w:cs="Calibri"/>
          <w:sz w:val="22"/>
          <w:szCs w:val="22"/>
          <w:lang w:val="en-AU"/>
        </w:rPr>
        <w:t xml:space="preserve"> of Mechanical and Mechatronic Engineering, University of Southern Queensland, Toowoomba, Australia</w:t>
      </w:r>
      <w:r>
        <w:rPr>
          <w:rFonts w:ascii="Calibri" w:hAnsi="Calibri" w:cs="Calibri"/>
          <w:sz w:val="22"/>
          <w:szCs w:val="22"/>
          <w:lang w:val="en-AU"/>
        </w:rPr>
        <w:t>;</w:t>
      </w:r>
      <w:r w:rsidR="00297CB0" w:rsidRPr="00297CB0">
        <w:rPr>
          <w:rFonts w:ascii="Calibri" w:hAnsi="Calibri" w:cs="Calibri"/>
          <w:sz w:val="22"/>
          <w:szCs w:val="22"/>
          <w:lang w:val="en-AU"/>
        </w:rPr>
        <w:t xml:space="preserve"> </w:t>
      </w:r>
      <w:r>
        <w:rPr>
          <w:rFonts w:ascii="Calibri" w:hAnsi="Calibri" w:cs="Calibri"/>
          <w:sz w:val="22"/>
          <w:szCs w:val="22"/>
          <w:vertAlign w:val="superscript"/>
          <w:lang w:val="en-AU"/>
        </w:rPr>
        <w:t xml:space="preserve">B </w:t>
      </w:r>
      <w:r w:rsidR="00297CB0" w:rsidRPr="00297CB0">
        <w:rPr>
          <w:rFonts w:ascii="Calibri" w:hAnsi="Calibri" w:cs="Calibri"/>
          <w:sz w:val="22"/>
          <w:szCs w:val="22"/>
          <w:lang w:val="en-AU"/>
        </w:rPr>
        <w:t>Centre for Crop Health, University of Southern Queensland, Toowoomba, Australia</w:t>
      </w:r>
      <w:r w:rsidR="004A7C0A">
        <w:rPr>
          <w:rFonts w:ascii="Calibri" w:hAnsi="Calibri" w:cs="Calibri"/>
          <w:sz w:val="22"/>
          <w:szCs w:val="22"/>
          <w:lang w:val="en-AU"/>
        </w:rPr>
        <w:t>.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</w:p>
    <w:p w14:paraId="1192405B" w14:textId="77777777" w:rsidR="004A7C0A" w:rsidRDefault="004A7C0A" w:rsidP="001C5EDE">
      <w:pPr>
        <w:ind w:left="284" w:right="282"/>
        <w:jc w:val="both"/>
        <w:rPr>
          <w:rFonts w:ascii="Calibri" w:hAnsi="Calibri" w:cs="Calibri"/>
          <w:b/>
          <w:bCs/>
          <w:sz w:val="22"/>
          <w:szCs w:val="22"/>
          <w:lang w:val="en-AU"/>
        </w:rPr>
      </w:pPr>
    </w:p>
    <w:p w14:paraId="35D9DF9C" w14:textId="7D466B60" w:rsidR="00711813" w:rsidRPr="006B3866" w:rsidRDefault="00711813" w:rsidP="001C5EDE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 w:rsidRPr="00447188">
        <w:rPr>
          <w:rFonts w:ascii="Calibri" w:hAnsi="Calibri" w:cs="Calibri"/>
          <w:b/>
          <w:bCs/>
          <w:sz w:val="22"/>
          <w:szCs w:val="22"/>
          <w:lang w:val="en-AU"/>
        </w:rPr>
        <w:t>Introduction</w:t>
      </w:r>
      <w:r w:rsidR="00447188">
        <w:rPr>
          <w:rFonts w:ascii="Calibri" w:hAnsi="Calibri" w:cs="Calibri"/>
          <w:sz w:val="22"/>
          <w:szCs w:val="22"/>
          <w:lang w:val="en-AU"/>
        </w:rPr>
        <w:t xml:space="preserve"> </w:t>
      </w:r>
    </w:p>
    <w:p w14:paraId="08521572" w14:textId="13972C9C" w:rsidR="000D49EF" w:rsidRPr="000D49EF" w:rsidRDefault="001C5EDE" w:rsidP="00DF38B8">
      <w:pPr>
        <w:autoSpaceDE w:val="0"/>
        <w:autoSpaceDN w:val="0"/>
        <w:adjustRightInd w:val="0"/>
        <w:ind w:left="283" w:right="283"/>
        <w:contextualSpacing/>
        <w:jc w:val="both"/>
        <w:rPr>
          <w:rFonts w:ascii="Calibri" w:hAnsi="Calibri" w:cs="Calibri"/>
          <w:sz w:val="22"/>
          <w:szCs w:val="22"/>
        </w:rPr>
      </w:pPr>
      <w:r w:rsidRPr="000D49EF">
        <w:rPr>
          <w:rFonts w:ascii="Calibri" w:hAnsi="Calibri" w:cs="Calibri"/>
          <w:sz w:val="22"/>
          <w:szCs w:val="22"/>
        </w:rPr>
        <w:t>Electrospinning technique ha</w:t>
      </w:r>
      <w:r w:rsidR="000D4011" w:rsidRPr="000D49EF">
        <w:rPr>
          <w:rFonts w:ascii="Calibri" w:hAnsi="Calibri" w:cs="Calibri"/>
          <w:sz w:val="22"/>
          <w:szCs w:val="22"/>
        </w:rPr>
        <w:t>s</w:t>
      </w:r>
      <w:r w:rsidRPr="000D49EF">
        <w:rPr>
          <w:rFonts w:ascii="Calibri" w:hAnsi="Calibri" w:cs="Calibri"/>
          <w:sz w:val="22"/>
          <w:szCs w:val="22"/>
        </w:rPr>
        <w:t xml:space="preserve"> attracted interest as </w:t>
      </w:r>
      <w:r w:rsidR="000D4011" w:rsidRPr="000D49EF">
        <w:rPr>
          <w:rFonts w:ascii="Calibri" w:hAnsi="Calibri" w:cs="Calibri"/>
          <w:sz w:val="22"/>
          <w:szCs w:val="22"/>
        </w:rPr>
        <w:t xml:space="preserve">a </w:t>
      </w:r>
      <w:r w:rsidRPr="000D49EF">
        <w:rPr>
          <w:rFonts w:ascii="Calibri" w:hAnsi="Calibri" w:cs="Calibri"/>
          <w:sz w:val="22"/>
          <w:szCs w:val="22"/>
        </w:rPr>
        <w:t>versatile</w:t>
      </w:r>
      <w:r w:rsidR="000D4011" w:rsidRPr="000D49EF">
        <w:rPr>
          <w:rFonts w:ascii="Calibri" w:hAnsi="Calibri" w:cs="Calibri"/>
          <w:sz w:val="22"/>
          <w:szCs w:val="22"/>
        </w:rPr>
        <w:t xml:space="preserve"> and inexpensive</w:t>
      </w:r>
      <w:r w:rsidRPr="000D49EF">
        <w:rPr>
          <w:rFonts w:ascii="Calibri" w:hAnsi="Calibri" w:cs="Calibri"/>
          <w:sz w:val="22"/>
          <w:szCs w:val="22"/>
        </w:rPr>
        <w:t xml:space="preserve"> technique to manufacture </w:t>
      </w:r>
      <w:r w:rsidR="000D4011" w:rsidRPr="000D49EF">
        <w:rPr>
          <w:rFonts w:ascii="Calibri" w:hAnsi="Calibri" w:cs="Calibri"/>
          <w:sz w:val="22"/>
          <w:szCs w:val="22"/>
        </w:rPr>
        <w:t>micro- and nano</w:t>
      </w:r>
      <w:r w:rsidRPr="000D49EF">
        <w:rPr>
          <w:rFonts w:ascii="Calibri" w:hAnsi="Calibri" w:cs="Calibri"/>
          <w:sz w:val="22"/>
          <w:szCs w:val="22"/>
        </w:rPr>
        <w:t>fib</w:t>
      </w:r>
      <w:r w:rsidR="000D4011" w:rsidRPr="000D49EF">
        <w:rPr>
          <w:rFonts w:ascii="Calibri" w:hAnsi="Calibri" w:cs="Calibri"/>
          <w:sz w:val="22"/>
          <w:szCs w:val="22"/>
        </w:rPr>
        <w:t>e</w:t>
      </w:r>
      <w:r w:rsidRPr="000D49EF">
        <w:rPr>
          <w:rFonts w:ascii="Calibri" w:hAnsi="Calibri" w:cs="Calibri"/>
          <w:sz w:val="22"/>
          <w:szCs w:val="22"/>
        </w:rPr>
        <w:t xml:space="preserve">rs from polymer solutions [1]. </w:t>
      </w:r>
      <w:r w:rsidR="000D4011" w:rsidRPr="000D49EF">
        <w:rPr>
          <w:rFonts w:ascii="Calibri" w:hAnsi="Calibri" w:cs="Calibri"/>
          <w:sz w:val="22"/>
          <w:szCs w:val="22"/>
        </w:rPr>
        <w:t xml:space="preserve">High surface area and ease of incorporation of active ingredients have prompted some researchers to investigate using </w:t>
      </w:r>
      <w:proofErr w:type="spellStart"/>
      <w:r w:rsidR="000D4011" w:rsidRPr="000D49EF">
        <w:rPr>
          <w:rFonts w:ascii="Calibri" w:hAnsi="Calibri" w:cs="Calibri"/>
          <w:sz w:val="22"/>
          <w:szCs w:val="22"/>
        </w:rPr>
        <w:t>electrospun</w:t>
      </w:r>
      <w:proofErr w:type="spellEnd"/>
      <w:r w:rsidR="000D4011" w:rsidRPr="000D49EF">
        <w:rPr>
          <w:rFonts w:ascii="Calibri" w:hAnsi="Calibri" w:cs="Calibri"/>
          <w:sz w:val="22"/>
          <w:szCs w:val="22"/>
        </w:rPr>
        <w:t xml:space="preserve"> nanofibers in agricultural application</w:t>
      </w:r>
      <w:r w:rsidR="00DF38B8">
        <w:rPr>
          <w:rFonts w:ascii="Calibri" w:hAnsi="Calibri" w:cs="Calibri"/>
          <w:sz w:val="22"/>
          <w:szCs w:val="22"/>
        </w:rPr>
        <w:t xml:space="preserve"> </w:t>
      </w:r>
      <w:r w:rsidR="00DF38B8" w:rsidRPr="000D49EF">
        <w:rPr>
          <w:rFonts w:ascii="Calibri" w:hAnsi="Calibri" w:cs="Calibri"/>
          <w:sz w:val="22"/>
          <w:szCs w:val="22"/>
        </w:rPr>
        <w:t>[</w:t>
      </w:r>
      <w:r w:rsidR="00DF38B8">
        <w:rPr>
          <w:rFonts w:ascii="Calibri" w:hAnsi="Calibri" w:cs="Calibri"/>
          <w:sz w:val="22"/>
          <w:szCs w:val="22"/>
        </w:rPr>
        <w:t>2</w:t>
      </w:r>
      <w:r w:rsidR="00DF38B8" w:rsidRPr="000D49EF">
        <w:rPr>
          <w:rFonts w:ascii="Calibri" w:hAnsi="Calibri" w:cs="Calibri"/>
          <w:sz w:val="22"/>
          <w:szCs w:val="22"/>
        </w:rPr>
        <w:t>]</w:t>
      </w:r>
      <w:r w:rsidR="00DF38B8">
        <w:rPr>
          <w:rFonts w:ascii="Calibri" w:hAnsi="Calibri" w:cs="Calibri"/>
          <w:sz w:val="22"/>
          <w:szCs w:val="22"/>
        </w:rPr>
        <w:t>.</w:t>
      </w:r>
      <w:r w:rsidR="000D4011" w:rsidRPr="000D49EF">
        <w:rPr>
          <w:rFonts w:ascii="Calibri" w:hAnsi="Calibri" w:cs="Calibri"/>
          <w:sz w:val="22"/>
          <w:szCs w:val="22"/>
        </w:rPr>
        <w:t xml:space="preserve"> Urea is a cost-effective fertilizer used to promote plant growth and increase crop production. However, uncontrolled use of urea fertilizer is harmful to plants and can lead to soil and water pollution</w:t>
      </w:r>
      <w:r w:rsidR="00DF38B8">
        <w:rPr>
          <w:rFonts w:ascii="Calibri" w:hAnsi="Calibri" w:cs="Calibri"/>
          <w:sz w:val="22"/>
          <w:szCs w:val="22"/>
        </w:rPr>
        <w:t xml:space="preserve"> </w:t>
      </w:r>
      <w:r w:rsidR="00DF38B8" w:rsidRPr="000D49EF">
        <w:rPr>
          <w:rFonts w:ascii="Calibri" w:hAnsi="Calibri" w:cs="Calibri"/>
          <w:sz w:val="22"/>
          <w:szCs w:val="22"/>
        </w:rPr>
        <w:t>[</w:t>
      </w:r>
      <w:r w:rsidR="00DF38B8">
        <w:rPr>
          <w:rFonts w:ascii="Calibri" w:hAnsi="Calibri" w:cs="Calibri"/>
          <w:sz w:val="22"/>
          <w:szCs w:val="22"/>
        </w:rPr>
        <w:t>2</w:t>
      </w:r>
      <w:r w:rsidR="00DF38B8" w:rsidRPr="000D49EF">
        <w:rPr>
          <w:rFonts w:ascii="Calibri" w:hAnsi="Calibri" w:cs="Calibri"/>
          <w:sz w:val="22"/>
          <w:szCs w:val="22"/>
        </w:rPr>
        <w:t>]</w:t>
      </w:r>
      <w:r w:rsidR="00DF38B8">
        <w:rPr>
          <w:rFonts w:ascii="Calibri" w:hAnsi="Calibri" w:cs="Calibri"/>
          <w:sz w:val="22"/>
          <w:szCs w:val="22"/>
        </w:rPr>
        <w:t>.</w:t>
      </w:r>
      <w:r w:rsidR="000D4011" w:rsidRPr="000D49EF">
        <w:rPr>
          <w:rFonts w:ascii="Calibri" w:hAnsi="Calibri" w:cs="Calibri"/>
          <w:sz w:val="22"/>
          <w:szCs w:val="22"/>
        </w:rPr>
        <w:t xml:space="preserve"> </w:t>
      </w:r>
      <w:r w:rsidR="000D49EF" w:rsidRPr="000D49EF">
        <w:rPr>
          <w:rFonts w:ascii="Calibri" w:hAnsi="Calibri" w:cs="Calibri"/>
          <w:sz w:val="22"/>
          <w:szCs w:val="22"/>
        </w:rPr>
        <w:t xml:space="preserve">Therefore, many </w:t>
      </w:r>
      <w:r w:rsidR="00DF38B8" w:rsidRPr="000D49EF">
        <w:rPr>
          <w:rFonts w:ascii="Calibri" w:hAnsi="Calibri" w:cs="Calibri"/>
          <w:sz w:val="22"/>
          <w:szCs w:val="22"/>
        </w:rPr>
        <w:t>researches</w:t>
      </w:r>
      <w:r w:rsidR="000D49EF" w:rsidRPr="000D49EF">
        <w:rPr>
          <w:rFonts w:ascii="Calibri" w:hAnsi="Calibri" w:cs="Calibri"/>
          <w:sz w:val="22"/>
          <w:szCs w:val="22"/>
        </w:rPr>
        <w:t xml:space="preserve"> have been made</w:t>
      </w:r>
      <w:r w:rsidR="00DF38B8">
        <w:rPr>
          <w:rFonts w:ascii="Calibri" w:hAnsi="Calibri" w:cs="Calibri"/>
          <w:sz w:val="22"/>
          <w:szCs w:val="22"/>
        </w:rPr>
        <w:t xml:space="preserve"> efforts</w:t>
      </w:r>
      <w:r w:rsidR="000D49EF" w:rsidRPr="000D49EF">
        <w:rPr>
          <w:rFonts w:ascii="Calibri" w:hAnsi="Calibri" w:cs="Calibri"/>
          <w:sz w:val="22"/>
          <w:szCs w:val="22"/>
        </w:rPr>
        <w:t xml:space="preserve"> </w:t>
      </w:r>
      <w:r w:rsidR="004A7C0A">
        <w:rPr>
          <w:rFonts w:ascii="Calibri" w:hAnsi="Calibri" w:cs="Calibri"/>
          <w:sz w:val="22"/>
          <w:szCs w:val="22"/>
        </w:rPr>
        <w:t>to</w:t>
      </w:r>
      <w:r w:rsidR="000D49EF" w:rsidRPr="000D49EF">
        <w:rPr>
          <w:rFonts w:ascii="Calibri" w:hAnsi="Calibri" w:cs="Calibri"/>
          <w:sz w:val="22"/>
          <w:szCs w:val="22"/>
        </w:rPr>
        <w:t xml:space="preserve"> increas</w:t>
      </w:r>
      <w:r w:rsidR="004A7C0A">
        <w:rPr>
          <w:rFonts w:ascii="Calibri" w:hAnsi="Calibri" w:cs="Calibri"/>
          <w:sz w:val="22"/>
          <w:szCs w:val="22"/>
        </w:rPr>
        <w:t xml:space="preserve">e </w:t>
      </w:r>
      <w:r w:rsidR="000D49EF" w:rsidRPr="000D49EF">
        <w:rPr>
          <w:rFonts w:ascii="Calibri" w:hAnsi="Calibri" w:cs="Calibri"/>
          <w:sz w:val="22"/>
          <w:szCs w:val="22"/>
        </w:rPr>
        <w:t>the efficiency of urea fertilizers use by prolonged-released systems</w:t>
      </w:r>
      <w:r w:rsidR="004A7C0A">
        <w:rPr>
          <w:rFonts w:ascii="Calibri" w:hAnsi="Calibri" w:cs="Calibri"/>
          <w:sz w:val="22"/>
          <w:szCs w:val="22"/>
        </w:rPr>
        <w:t xml:space="preserve"> such as nanofiber</w:t>
      </w:r>
      <w:r w:rsidR="00DF38B8">
        <w:rPr>
          <w:rFonts w:ascii="Calibri" w:hAnsi="Calibri" w:cs="Calibri"/>
          <w:sz w:val="22"/>
          <w:szCs w:val="22"/>
        </w:rPr>
        <w:t>s.</w:t>
      </w:r>
      <w:r w:rsidR="004A7C0A">
        <w:rPr>
          <w:rFonts w:ascii="Calibri" w:hAnsi="Calibri" w:cs="Calibri"/>
          <w:sz w:val="22"/>
          <w:szCs w:val="22"/>
        </w:rPr>
        <w:t xml:space="preserve"> </w:t>
      </w:r>
    </w:p>
    <w:p w14:paraId="3BE72820" w14:textId="48F2FB49" w:rsidR="001C5EDE" w:rsidRPr="000D4011" w:rsidRDefault="000D4011" w:rsidP="003E4778">
      <w:pPr>
        <w:ind w:left="283" w:right="283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0A6D19">
        <w:rPr>
          <w:rFonts w:ascii="Calibri" w:hAnsi="Calibri" w:cs="Calibri"/>
          <w:b/>
          <w:bCs/>
          <w:lang w:val="en-AU"/>
        </w:rPr>
        <w:t>Aims</w:t>
      </w:r>
    </w:p>
    <w:p w14:paraId="7ACB1C77" w14:textId="66D776FF" w:rsidR="000D4011" w:rsidRPr="000D4011" w:rsidRDefault="000D49EF" w:rsidP="0091270D">
      <w:pPr>
        <w:ind w:left="283" w:right="283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91270D">
        <w:rPr>
          <w:rFonts w:asciiTheme="minorHAnsi" w:hAnsiTheme="minorHAnsi" w:cstheme="minorHAnsi"/>
          <w:sz w:val="22"/>
          <w:szCs w:val="22"/>
          <w:lang w:val="en-AU"/>
        </w:rPr>
        <w:t xml:space="preserve">This </w:t>
      </w:r>
      <w:r w:rsidR="003E4778" w:rsidRPr="0091270D">
        <w:rPr>
          <w:rFonts w:asciiTheme="minorHAnsi" w:hAnsiTheme="minorHAnsi" w:cstheme="minorHAnsi"/>
          <w:sz w:val="22"/>
          <w:szCs w:val="22"/>
          <w:lang w:val="en-AU"/>
        </w:rPr>
        <w:t>study</w:t>
      </w:r>
      <w:r w:rsidRPr="0091270D">
        <w:rPr>
          <w:rFonts w:asciiTheme="minorHAnsi" w:hAnsiTheme="minorHAnsi" w:cstheme="minorHAnsi"/>
          <w:sz w:val="22"/>
          <w:szCs w:val="22"/>
          <w:lang w:val="en-AU"/>
        </w:rPr>
        <w:t xml:space="preserve"> aimed</w:t>
      </w:r>
      <w:r w:rsidR="000D4011" w:rsidRPr="000D4011">
        <w:rPr>
          <w:rFonts w:asciiTheme="minorHAnsi" w:hAnsiTheme="minorHAnsi" w:cstheme="minorHAnsi"/>
          <w:sz w:val="22"/>
          <w:szCs w:val="22"/>
          <w:lang w:val="en-AU"/>
        </w:rPr>
        <w:t xml:space="preserve"> to </w:t>
      </w:r>
      <w:r w:rsidR="003E4778" w:rsidRPr="0091270D">
        <w:rPr>
          <w:rFonts w:asciiTheme="minorHAnsi" w:hAnsiTheme="minorHAnsi" w:cstheme="minorHAnsi"/>
          <w:sz w:val="22"/>
          <w:szCs w:val="22"/>
          <w:lang w:val="en-AU"/>
        </w:rPr>
        <w:t>investigate</w:t>
      </w:r>
      <w:r w:rsidR="000D4011" w:rsidRPr="000D4011">
        <w:rPr>
          <w:rFonts w:asciiTheme="minorHAnsi" w:hAnsiTheme="minorHAnsi" w:cstheme="minorHAnsi"/>
          <w:sz w:val="22"/>
          <w:szCs w:val="22"/>
          <w:lang w:val="en-AU"/>
        </w:rPr>
        <w:t xml:space="preserve"> the </w:t>
      </w:r>
      <w:r w:rsidR="003E4778" w:rsidRPr="0091270D">
        <w:rPr>
          <w:rFonts w:asciiTheme="minorHAnsi" w:hAnsiTheme="minorHAnsi" w:cstheme="minorHAnsi"/>
          <w:sz w:val="22"/>
          <w:szCs w:val="22"/>
          <w:lang w:val="en-AU"/>
        </w:rPr>
        <w:t>effect of different urea concentration</w:t>
      </w:r>
      <w:r w:rsidRPr="0091270D">
        <w:rPr>
          <w:rFonts w:asciiTheme="minorHAnsi" w:hAnsiTheme="minorHAnsi" w:cstheme="minorHAnsi"/>
          <w:sz w:val="22"/>
          <w:szCs w:val="22"/>
          <w:lang w:val="en-AU"/>
        </w:rPr>
        <w:t>s</w:t>
      </w:r>
      <w:r w:rsidR="003E4778" w:rsidRPr="0091270D">
        <w:rPr>
          <w:rFonts w:asciiTheme="minorHAnsi" w:hAnsiTheme="minorHAnsi" w:cstheme="minorHAnsi"/>
          <w:sz w:val="22"/>
          <w:szCs w:val="22"/>
          <w:lang w:val="en-AU"/>
        </w:rPr>
        <w:t xml:space="preserve"> on </w:t>
      </w:r>
      <w:r w:rsidRPr="0091270D">
        <w:rPr>
          <w:rFonts w:asciiTheme="minorHAnsi" w:hAnsiTheme="minorHAnsi" w:cstheme="minorHAnsi"/>
          <w:sz w:val="22"/>
          <w:szCs w:val="22"/>
          <w:lang w:val="en-AU"/>
        </w:rPr>
        <w:t xml:space="preserve">nitrogen </w:t>
      </w:r>
      <w:r w:rsidR="003E4778" w:rsidRPr="0091270D">
        <w:rPr>
          <w:rFonts w:asciiTheme="minorHAnsi" w:hAnsiTheme="minorHAnsi" w:cstheme="minorHAnsi"/>
          <w:sz w:val="22"/>
          <w:szCs w:val="22"/>
          <w:lang w:val="en-AU"/>
        </w:rPr>
        <w:t>slow release rate</w:t>
      </w:r>
      <w:r w:rsidRPr="0091270D">
        <w:rPr>
          <w:rFonts w:asciiTheme="minorHAnsi" w:hAnsiTheme="minorHAnsi" w:cstheme="minorHAnsi"/>
          <w:sz w:val="22"/>
          <w:szCs w:val="22"/>
          <w:lang w:val="en-AU"/>
        </w:rPr>
        <w:t xml:space="preserve"> from </w:t>
      </w:r>
      <w:proofErr w:type="spellStart"/>
      <w:r w:rsidRPr="0091270D">
        <w:rPr>
          <w:rFonts w:asciiTheme="minorHAnsi" w:hAnsiTheme="minorHAnsi" w:cstheme="minorHAnsi"/>
          <w:sz w:val="22"/>
          <w:szCs w:val="22"/>
          <w:lang w:val="en-AU"/>
        </w:rPr>
        <w:t>electrospun</w:t>
      </w:r>
      <w:proofErr w:type="spellEnd"/>
      <w:r w:rsidR="0091270D" w:rsidRPr="0091270D">
        <w:rPr>
          <w:rFonts w:asciiTheme="minorHAnsi" w:hAnsiTheme="minorHAnsi" w:cstheme="minorHAnsi"/>
          <w:sz w:val="22"/>
          <w:szCs w:val="22"/>
          <w:lang w:val="en-AU"/>
        </w:rPr>
        <w:t xml:space="preserve"> Poly (L-lactide) (</w:t>
      </w:r>
      <w:r w:rsidRPr="0091270D">
        <w:rPr>
          <w:rFonts w:asciiTheme="minorHAnsi" w:hAnsiTheme="minorHAnsi" w:cstheme="minorHAnsi"/>
          <w:sz w:val="22"/>
          <w:szCs w:val="22"/>
          <w:lang w:val="en-AU"/>
        </w:rPr>
        <w:t>PLLA</w:t>
      </w:r>
      <w:r w:rsidR="0091270D" w:rsidRPr="0091270D">
        <w:rPr>
          <w:rFonts w:asciiTheme="minorHAnsi" w:hAnsiTheme="minorHAnsi" w:cstheme="minorHAnsi"/>
          <w:sz w:val="22"/>
          <w:szCs w:val="22"/>
          <w:lang w:val="en-AU"/>
        </w:rPr>
        <w:t>)</w:t>
      </w:r>
      <w:r w:rsidRPr="0091270D">
        <w:rPr>
          <w:rFonts w:asciiTheme="minorHAnsi" w:hAnsiTheme="minorHAnsi" w:cstheme="minorHAnsi"/>
          <w:sz w:val="22"/>
          <w:szCs w:val="22"/>
          <w:lang w:val="en-AU"/>
        </w:rPr>
        <w:t xml:space="preserve"> nanofibers.</w:t>
      </w:r>
    </w:p>
    <w:p w14:paraId="70330504" w14:textId="288E3E84" w:rsidR="00711813" w:rsidRPr="000A6D19" w:rsidRDefault="00711813" w:rsidP="009A4CFF">
      <w:pPr>
        <w:ind w:left="284" w:right="282"/>
        <w:jc w:val="both"/>
        <w:rPr>
          <w:rFonts w:ascii="Calibri" w:hAnsi="Calibri" w:cs="Calibri"/>
          <w:b/>
          <w:bCs/>
          <w:lang w:val="en-AU"/>
        </w:rPr>
      </w:pPr>
      <w:r w:rsidRPr="000A6D19">
        <w:rPr>
          <w:rFonts w:ascii="Calibri" w:hAnsi="Calibri" w:cs="Calibri"/>
          <w:b/>
          <w:bCs/>
          <w:lang w:val="en-AU"/>
        </w:rPr>
        <w:t>Methods</w:t>
      </w:r>
    </w:p>
    <w:p w14:paraId="2BCB2BEE" w14:textId="6BF44B60" w:rsidR="00DF38B8" w:rsidRPr="0091270D" w:rsidRDefault="0091270D" w:rsidP="00DF38B8">
      <w:pPr>
        <w:ind w:left="284" w:right="284"/>
        <w:jc w:val="both"/>
        <w:rPr>
          <w:rFonts w:ascii="Calibri" w:hAnsi="Calibri" w:cs="Calibri"/>
          <w:sz w:val="22"/>
          <w:szCs w:val="22"/>
        </w:rPr>
      </w:pPr>
      <w:r w:rsidRPr="0091270D">
        <w:rPr>
          <w:rFonts w:ascii="Calibri" w:hAnsi="Calibri" w:cs="Calibri"/>
          <w:sz w:val="22"/>
          <w:szCs w:val="22"/>
        </w:rPr>
        <w:t xml:space="preserve">PLLA with a molecular weight of 282kD was purchased from </w:t>
      </w:r>
      <w:proofErr w:type="spellStart"/>
      <w:r w:rsidRPr="0091270D">
        <w:rPr>
          <w:rFonts w:ascii="Calibri" w:hAnsi="Calibri" w:cs="Calibri"/>
          <w:sz w:val="22"/>
          <w:szCs w:val="22"/>
        </w:rPr>
        <w:t>Vorina</w:t>
      </w:r>
      <w:proofErr w:type="spellEnd"/>
      <w:r w:rsidRPr="0091270D">
        <w:rPr>
          <w:rFonts w:ascii="Calibri" w:hAnsi="Calibri" w:cs="Calibri"/>
          <w:sz w:val="22"/>
          <w:szCs w:val="22"/>
        </w:rPr>
        <w:t xml:space="preserve"> Company in Ireland. Solvents, Chloroform (CF</w:t>
      </w:r>
      <w:r w:rsidR="00EB70A1">
        <w:rPr>
          <w:rFonts w:ascii="Calibri" w:hAnsi="Calibri" w:cs="Calibri"/>
          <w:sz w:val="22"/>
          <w:szCs w:val="22"/>
        </w:rPr>
        <w:t>)</w:t>
      </w:r>
      <w:r w:rsidRPr="0091270D">
        <w:rPr>
          <w:rFonts w:ascii="Calibri" w:hAnsi="Calibri" w:cs="Calibri"/>
          <w:sz w:val="22"/>
          <w:szCs w:val="22"/>
        </w:rPr>
        <w:t>; and Acetone (A</w:t>
      </w:r>
      <w:r w:rsidR="00B95A1A">
        <w:rPr>
          <w:rFonts w:ascii="Calibri" w:hAnsi="Calibri" w:cs="Calibri"/>
          <w:sz w:val="22"/>
          <w:szCs w:val="22"/>
        </w:rPr>
        <w:t>ce</w:t>
      </w:r>
      <w:r w:rsidRPr="0091270D">
        <w:rPr>
          <w:rFonts w:ascii="Calibri" w:hAnsi="Calibri" w:cs="Calibri"/>
          <w:sz w:val="22"/>
          <w:szCs w:val="22"/>
        </w:rPr>
        <w:t xml:space="preserve">) were obtained from Australia Sigma Aldrich. Urea was provided from </w:t>
      </w:r>
      <w:proofErr w:type="spellStart"/>
      <w:r w:rsidRPr="0091270D">
        <w:rPr>
          <w:rFonts w:ascii="Calibri" w:hAnsi="Calibri" w:cs="Calibri"/>
          <w:sz w:val="22"/>
          <w:szCs w:val="22"/>
        </w:rPr>
        <w:t>Richgro</w:t>
      </w:r>
      <w:proofErr w:type="spellEnd"/>
      <w:r w:rsidRPr="0091270D">
        <w:rPr>
          <w:rFonts w:ascii="Calibri" w:hAnsi="Calibri" w:cs="Calibri"/>
          <w:sz w:val="22"/>
          <w:szCs w:val="22"/>
        </w:rPr>
        <w:t xml:space="preserve"> Products.</w:t>
      </w:r>
      <w:r w:rsidR="00DF38B8" w:rsidRPr="00DF38B8">
        <w:rPr>
          <w:rFonts w:ascii="Calibri" w:hAnsi="Calibri" w:cs="Calibri"/>
          <w:sz w:val="22"/>
          <w:szCs w:val="22"/>
        </w:rPr>
        <w:t xml:space="preserve"> </w:t>
      </w:r>
      <w:r w:rsidR="00DF38B8" w:rsidRPr="0056689D">
        <w:rPr>
          <w:rFonts w:ascii="Calibri" w:hAnsi="Calibri" w:cs="Calibri"/>
          <w:sz w:val="22"/>
          <w:szCs w:val="22"/>
        </w:rPr>
        <w:t xml:space="preserve">PLLA solution with optimum concentrations of 5% (w/w) in </w:t>
      </w:r>
      <w:r w:rsidR="006A3835">
        <w:rPr>
          <w:rFonts w:ascii="Calibri" w:hAnsi="Calibri" w:cs="Calibri"/>
          <w:sz w:val="22"/>
          <w:szCs w:val="22"/>
        </w:rPr>
        <w:t>CF</w:t>
      </w:r>
      <w:r w:rsidR="00DF38B8" w:rsidRPr="0056689D">
        <w:rPr>
          <w:rFonts w:ascii="Calibri" w:hAnsi="Calibri" w:cs="Calibri"/>
          <w:sz w:val="22"/>
          <w:szCs w:val="22"/>
        </w:rPr>
        <w:t xml:space="preserve">: </w:t>
      </w:r>
      <w:r w:rsidR="006A3835">
        <w:rPr>
          <w:rFonts w:ascii="Calibri" w:hAnsi="Calibri" w:cs="Calibri"/>
          <w:sz w:val="22"/>
          <w:szCs w:val="22"/>
        </w:rPr>
        <w:t>Ace</w:t>
      </w:r>
      <w:r w:rsidR="00DF38B8" w:rsidRPr="0056689D">
        <w:rPr>
          <w:rFonts w:ascii="Calibri" w:hAnsi="Calibri" w:cs="Calibri"/>
          <w:sz w:val="22"/>
          <w:szCs w:val="22"/>
        </w:rPr>
        <w:t xml:space="preserve"> (3:1 v/v) was prepared and mixed with 10, 20, and 40% (w/w) urea</w:t>
      </w:r>
      <w:r w:rsidR="00EB70A1">
        <w:rPr>
          <w:rFonts w:ascii="Calibri" w:hAnsi="Calibri" w:cs="Calibri"/>
          <w:sz w:val="22"/>
          <w:szCs w:val="22"/>
        </w:rPr>
        <w:t>.</w:t>
      </w:r>
      <w:r w:rsidR="00DF38B8" w:rsidRPr="0056689D">
        <w:rPr>
          <w:rFonts w:ascii="Calibri" w:hAnsi="Calibri" w:cs="Calibri"/>
          <w:sz w:val="22"/>
          <w:szCs w:val="22"/>
        </w:rPr>
        <w:t xml:space="preserve"> </w:t>
      </w:r>
      <w:r w:rsidR="00EB70A1">
        <w:rPr>
          <w:rFonts w:ascii="Calibri" w:hAnsi="Calibri" w:cs="Calibri"/>
          <w:sz w:val="22"/>
          <w:szCs w:val="22"/>
        </w:rPr>
        <w:t>T</w:t>
      </w:r>
      <w:r w:rsidR="00DF38B8" w:rsidRPr="0056689D">
        <w:rPr>
          <w:rFonts w:ascii="Calibri" w:hAnsi="Calibri" w:cs="Calibri"/>
          <w:sz w:val="22"/>
          <w:szCs w:val="22"/>
        </w:rPr>
        <w:t>he prepared solution</w:t>
      </w:r>
      <w:r w:rsidR="00DF38B8">
        <w:rPr>
          <w:rFonts w:ascii="Calibri" w:hAnsi="Calibri" w:cs="Calibri"/>
          <w:sz w:val="22"/>
          <w:szCs w:val="22"/>
        </w:rPr>
        <w:t>s</w:t>
      </w:r>
      <w:r w:rsidR="00DF38B8" w:rsidRPr="0056689D">
        <w:rPr>
          <w:rFonts w:ascii="Calibri" w:hAnsi="Calibri" w:cs="Calibri"/>
          <w:sz w:val="22"/>
          <w:szCs w:val="22"/>
        </w:rPr>
        <w:t xml:space="preserve"> w</w:t>
      </w:r>
      <w:r w:rsidR="00DF38B8">
        <w:rPr>
          <w:rFonts w:ascii="Calibri" w:hAnsi="Calibri" w:cs="Calibri"/>
          <w:sz w:val="22"/>
          <w:szCs w:val="22"/>
        </w:rPr>
        <w:t>ere</w:t>
      </w:r>
      <w:r w:rsidR="00DF38B8" w:rsidRPr="0056689D">
        <w:rPr>
          <w:rFonts w:ascii="Calibri" w:hAnsi="Calibri" w:cs="Calibri"/>
          <w:sz w:val="22"/>
          <w:szCs w:val="22"/>
        </w:rPr>
        <w:t xml:space="preserve"> fed to a horizontal electrospinning setup. The electrospinning process was carried out at a voltage of 12kV and a </w:t>
      </w:r>
      <w:r w:rsidR="00EB70A1">
        <w:rPr>
          <w:rFonts w:ascii="Calibri" w:hAnsi="Calibri" w:cs="Calibri"/>
          <w:sz w:val="22"/>
          <w:szCs w:val="22"/>
        </w:rPr>
        <w:t>flow</w:t>
      </w:r>
      <w:r w:rsidR="00DF38B8" w:rsidRPr="0056689D">
        <w:rPr>
          <w:rFonts w:ascii="Calibri" w:hAnsi="Calibri" w:cs="Calibri"/>
          <w:sz w:val="22"/>
          <w:szCs w:val="22"/>
        </w:rPr>
        <w:t xml:space="preserve"> rate of 1 mL/h. The distance of the syringe tip and aluminum foil was 15 cm.</w:t>
      </w:r>
      <w:r w:rsidR="00DF38B8" w:rsidRPr="004A7C0A">
        <w:rPr>
          <w:rFonts w:ascii="Calibri" w:hAnsi="Calibri" w:cs="Calibri"/>
          <w:sz w:val="22"/>
          <w:szCs w:val="22"/>
        </w:rPr>
        <w:t xml:space="preserve"> </w:t>
      </w:r>
      <w:r w:rsidR="00DF38B8">
        <w:rPr>
          <w:rFonts w:ascii="Calibri" w:hAnsi="Calibri" w:cs="Calibri"/>
          <w:sz w:val="22"/>
          <w:szCs w:val="22"/>
        </w:rPr>
        <w:t xml:space="preserve">PLLA </w:t>
      </w:r>
      <w:r w:rsidR="00DF38B8" w:rsidRPr="00433B98">
        <w:rPr>
          <w:rFonts w:ascii="Calibri" w:hAnsi="Calibri" w:cs="Calibri"/>
          <w:sz w:val="22"/>
          <w:szCs w:val="22"/>
        </w:rPr>
        <w:t>nanofiber mats loading urea were cut into 2 cm × 6 cm pieces and placed in</w:t>
      </w:r>
      <w:r w:rsidR="006A3835">
        <w:rPr>
          <w:rFonts w:ascii="Calibri" w:hAnsi="Calibri" w:cs="Calibri"/>
          <w:sz w:val="22"/>
          <w:szCs w:val="22"/>
        </w:rPr>
        <w:t>to</w:t>
      </w:r>
      <w:r w:rsidR="00DF38B8" w:rsidRPr="00433B98">
        <w:rPr>
          <w:rFonts w:ascii="Calibri" w:hAnsi="Calibri" w:cs="Calibri"/>
          <w:sz w:val="22"/>
          <w:szCs w:val="22"/>
        </w:rPr>
        <w:t xml:space="preserve"> 20 mL of milli-Q water. </w:t>
      </w:r>
      <w:r w:rsidR="00DF38B8" w:rsidRPr="0056689D">
        <w:rPr>
          <w:rFonts w:ascii="Calibri" w:hAnsi="Calibri" w:cs="Calibri"/>
          <w:sz w:val="22"/>
          <w:szCs w:val="22"/>
        </w:rPr>
        <w:t xml:space="preserve">TNM-1 total nitrogen instrument (Shimadzu) was used to measure nitrogen release from the nanofiber mats. </w:t>
      </w:r>
    </w:p>
    <w:p w14:paraId="0996408C" w14:textId="25B0927D" w:rsidR="0057302D" w:rsidRPr="000A6D19" w:rsidRDefault="00711813" w:rsidP="0057302D">
      <w:pPr>
        <w:ind w:left="284" w:right="282"/>
        <w:jc w:val="both"/>
        <w:rPr>
          <w:rFonts w:ascii="Calibri" w:hAnsi="Calibri" w:cs="Calibri"/>
          <w:b/>
          <w:bCs/>
          <w:lang w:val="en-AU"/>
        </w:rPr>
      </w:pPr>
      <w:r w:rsidRPr="000A6D19">
        <w:rPr>
          <w:rFonts w:ascii="Calibri" w:hAnsi="Calibri" w:cs="Calibri"/>
          <w:b/>
          <w:bCs/>
          <w:lang w:val="en-AU"/>
        </w:rPr>
        <w:t>Results</w:t>
      </w:r>
      <w:r w:rsidR="0057302D">
        <w:rPr>
          <w:rFonts w:ascii="Calibri" w:hAnsi="Calibri" w:cs="Calibri"/>
          <w:b/>
          <w:bCs/>
          <w:lang w:val="en-AU"/>
        </w:rPr>
        <w:t xml:space="preserve"> and</w:t>
      </w:r>
      <w:r w:rsidRPr="000A6D19">
        <w:rPr>
          <w:rFonts w:ascii="Calibri" w:hAnsi="Calibri" w:cs="Calibri"/>
          <w:b/>
          <w:bCs/>
          <w:lang w:val="en-AU"/>
        </w:rPr>
        <w:t xml:space="preserve"> </w:t>
      </w:r>
      <w:r w:rsidR="0057302D" w:rsidRPr="000A6D19">
        <w:rPr>
          <w:rFonts w:ascii="Calibri" w:hAnsi="Calibri" w:cs="Calibri"/>
          <w:b/>
          <w:bCs/>
          <w:lang w:val="en-AU"/>
        </w:rPr>
        <w:t xml:space="preserve">Discussion </w:t>
      </w:r>
    </w:p>
    <w:p w14:paraId="092354F5" w14:textId="270AC73C" w:rsidR="00045573" w:rsidRDefault="005F1E71" w:rsidP="00B95A1A">
      <w:pPr>
        <w:ind w:left="284" w:right="284"/>
        <w:jc w:val="both"/>
        <w:rPr>
          <w:rFonts w:ascii="Calibri" w:hAnsi="Calibri" w:cs="Calibri"/>
          <w:sz w:val="22"/>
          <w:szCs w:val="22"/>
        </w:rPr>
      </w:pPr>
      <w:r w:rsidRPr="004A7C0A">
        <w:rPr>
          <w:rFonts w:ascii="Calibri" w:hAnsi="Calibri" w:cs="Calibri"/>
          <w:sz w:val="22"/>
          <w:szCs w:val="22"/>
        </w:rPr>
        <w:t xml:space="preserve">By keeping all electrospinning parameters </w:t>
      </w:r>
      <w:r w:rsidR="00B95A1A" w:rsidRPr="004A7C0A">
        <w:rPr>
          <w:rFonts w:ascii="Calibri" w:hAnsi="Calibri" w:cs="Calibri"/>
          <w:sz w:val="22"/>
          <w:szCs w:val="22"/>
        </w:rPr>
        <w:t>constant and</w:t>
      </w:r>
      <w:r w:rsidRPr="004A7C0A">
        <w:rPr>
          <w:rFonts w:ascii="Calibri" w:hAnsi="Calibri" w:cs="Calibri"/>
          <w:sz w:val="22"/>
          <w:szCs w:val="22"/>
        </w:rPr>
        <w:t xml:space="preserve"> increasing the urea concentration </w:t>
      </w:r>
      <w:r w:rsidR="00B95A1A" w:rsidRPr="004A7C0A">
        <w:rPr>
          <w:rFonts w:ascii="Calibri" w:hAnsi="Calibri" w:cs="Calibri"/>
          <w:sz w:val="22"/>
          <w:szCs w:val="22"/>
        </w:rPr>
        <w:t>from 0 to 40% into</w:t>
      </w:r>
      <w:r w:rsidRPr="004A7C0A">
        <w:rPr>
          <w:rFonts w:ascii="Calibri" w:hAnsi="Calibri" w:cs="Calibri"/>
          <w:sz w:val="22"/>
          <w:szCs w:val="22"/>
        </w:rPr>
        <w:t xml:space="preserve"> PLLA solution, </w:t>
      </w:r>
      <w:r w:rsidR="00B95A1A" w:rsidRPr="004A7C0A">
        <w:rPr>
          <w:rFonts w:ascii="Calibri" w:hAnsi="Calibri" w:cs="Calibri"/>
          <w:sz w:val="22"/>
          <w:szCs w:val="22"/>
        </w:rPr>
        <w:t>t</w:t>
      </w:r>
      <w:r w:rsidRPr="004A7C0A">
        <w:rPr>
          <w:rFonts w:ascii="Calibri" w:hAnsi="Calibri" w:cs="Calibri"/>
          <w:sz w:val="22"/>
          <w:szCs w:val="22"/>
        </w:rPr>
        <w:t xml:space="preserve">he diameter of PLLA </w:t>
      </w:r>
      <w:proofErr w:type="spellStart"/>
      <w:r w:rsidRPr="004A7C0A">
        <w:rPr>
          <w:rFonts w:ascii="Calibri" w:hAnsi="Calibri" w:cs="Calibri"/>
          <w:sz w:val="22"/>
          <w:szCs w:val="22"/>
        </w:rPr>
        <w:t>electrospun</w:t>
      </w:r>
      <w:proofErr w:type="spellEnd"/>
      <w:r w:rsidRPr="004A7C0A">
        <w:rPr>
          <w:rFonts w:ascii="Calibri" w:hAnsi="Calibri" w:cs="Calibri"/>
          <w:sz w:val="22"/>
          <w:szCs w:val="22"/>
        </w:rPr>
        <w:t xml:space="preserve"> </w:t>
      </w:r>
      <w:r w:rsidR="00B95A1A" w:rsidRPr="004A7C0A">
        <w:rPr>
          <w:rFonts w:ascii="Calibri" w:hAnsi="Calibri" w:cs="Calibri"/>
          <w:sz w:val="22"/>
          <w:szCs w:val="22"/>
        </w:rPr>
        <w:t>nanofibers</w:t>
      </w:r>
      <w:r w:rsidRPr="004A7C0A">
        <w:rPr>
          <w:rFonts w:ascii="Calibri" w:hAnsi="Calibri" w:cs="Calibri"/>
          <w:sz w:val="22"/>
          <w:szCs w:val="22"/>
        </w:rPr>
        <w:t xml:space="preserve"> increased from 496.183nm to 782.231nm</w:t>
      </w:r>
      <w:r w:rsidR="00EB70A1">
        <w:rPr>
          <w:rFonts w:ascii="Calibri" w:hAnsi="Calibri" w:cs="Calibri"/>
          <w:sz w:val="22"/>
          <w:szCs w:val="22"/>
        </w:rPr>
        <w:t xml:space="preserve"> (Table 1). </w:t>
      </w:r>
      <w:r w:rsidR="00B95A1A" w:rsidRPr="004A7C0A">
        <w:rPr>
          <w:rFonts w:ascii="Calibri" w:hAnsi="Calibri" w:cs="Calibri"/>
          <w:sz w:val="22"/>
          <w:szCs w:val="22"/>
        </w:rPr>
        <w:t>Increasing</w:t>
      </w:r>
      <w:r w:rsidRPr="004A7C0A">
        <w:rPr>
          <w:rFonts w:ascii="Calibri" w:hAnsi="Calibri" w:cs="Calibri"/>
          <w:sz w:val="22"/>
          <w:szCs w:val="22"/>
        </w:rPr>
        <w:t xml:space="preserve"> </w:t>
      </w:r>
      <w:r w:rsidR="0018270C" w:rsidRPr="0018270C">
        <w:rPr>
          <w:rFonts w:ascii="Calibri" w:hAnsi="Calibri" w:cs="Calibri"/>
          <w:sz w:val="22"/>
          <w:szCs w:val="22"/>
        </w:rPr>
        <w:t xml:space="preserve">urea percentage from 10% to 40% </w:t>
      </w:r>
      <w:r w:rsidR="00EB70A1">
        <w:rPr>
          <w:rFonts w:ascii="Calibri" w:hAnsi="Calibri" w:cs="Calibri"/>
          <w:sz w:val="22"/>
          <w:szCs w:val="22"/>
        </w:rPr>
        <w:t xml:space="preserve">let to </w:t>
      </w:r>
      <w:r w:rsidR="0018270C" w:rsidRPr="0018270C">
        <w:rPr>
          <w:rFonts w:ascii="Calibri" w:hAnsi="Calibri" w:cs="Calibri"/>
          <w:sz w:val="22"/>
          <w:szCs w:val="22"/>
        </w:rPr>
        <w:t>initial nitrogen release at a higher rate</w:t>
      </w:r>
      <w:r w:rsidR="004A7C0A">
        <w:rPr>
          <w:rFonts w:ascii="Calibri" w:hAnsi="Calibri" w:cs="Calibri"/>
          <w:sz w:val="22"/>
          <w:szCs w:val="22"/>
        </w:rPr>
        <w:t>.</w:t>
      </w:r>
      <w:r w:rsidR="0018270C" w:rsidRPr="0018270C">
        <w:rPr>
          <w:rFonts w:ascii="Calibri" w:hAnsi="Calibri" w:cs="Calibri"/>
          <w:sz w:val="22"/>
          <w:szCs w:val="22"/>
        </w:rPr>
        <w:t xml:space="preserve"> The results in Figure </w:t>
      </w:r>
      <w:r w:rsidR="00EB70A1">
        <w:rPr>
          <w:rFonts w:ascii="Calibri" w:hAnsi="Calibri" w:cs="Calibri"/>
          <w:sz w:val="22"/>
          <w:szCs w:val="22"/>
        </w:rPr>
        <w:t>2</w:t>
      </w:r>
      <w:r w:rsidR="0018270C" w:rsidRPr="0018270C">
        <w:rPr>
          <w:rFonts w:ascii="Calibri" w:hAnsi="Calibri" w:cs="Calibri"/>
          <w:sz w:val="22"/>
          <w:szCs w:val="22"/>
        </w:rPr>
        <w:t xml:space="preserve"> showed the nitrogen release rate of </w:t>
      </w:r>
      <w:r w:rsidR="0018270C">
        <w:rPr>
          <w:rFonts w:ascii="Calibri" w:hAnsi="Calibri" w:cs="Calibri"/>
          <w:sz w:val="22"/>
          <w:szCs w:val="22"/>
        </w:rPr>
        <w:t xml:space="preserve">PLLA </w:t>
      </w:r>
      <w:r w:rsidR="0018270C" w:rsidRPr="0018270C">
        <w:rPr>
          <w:rFonts w:ascii="Calibri" w:hAnsi="Calibri" w:cs="Calibri"/>
          <w:sz w:val="22"/>
          <w:szCs w:val="22"/>
        </w:rPr>
        <w:t>nanofib</w:t>
      </w:r>
      <w:r w:rsidR="001263F3">
        <w:rPr>
          <w:rFonts w:ascii="Calibri" w:hAnsi="Calibri" w:cs="Calibri"/>
          <w:sz w:val="22"/>
          <w:szCs w:val="22"/>
        </w:rPr>
        <w:t>ers</w:t>
      </w:r>
      <w:r w:rsidR="0018270C" w:rsidRPr="0018270C">
        <w:rPr>
          <w:rFonts w:ascii="Calibri" w:hAnsi="Calibri" w:cs="Calibri"/>
          <w:sz w:val="22"/>
          <w:szCs w:val="22"/>
        </w:rPr>
        <w:t xml:space="preserve"> was not significantly affected by various urea concentration</w:t>
      </w:r>
      <w:r w:rsidR="00EB70A1">
        <w:rPr>
          <w:rFonts w:ascii="Calibri" w:hAnsi="Calibri" w:cs="Calibri"/>
          <w:sz w:val="22"/>
          <w:szCs w:val="22"/>
        </w:rPr>
        <w:t>s</w:t>
      </w:r>
      <w:r w:rsidR="0018270C" w:rsidRPr="0018270C">
        <w:rPr>
          <w:rFonts w:ascii="Calibri" w:hAnsi="Calibri" w:cs="Calibri"/>
          <w:sz w:val="22"/>
          <w:szCs w:val="22"/>
        </w:rPr>
        <w:t xml:space="preserve"> (P value =0.361</w:t>
      </w:r>
      <w:r w:rsidR="001263F3">
        <w:rPr>
          <w:rFonts w:ascii="Calibri" w:hAnsi="Calibri" w:cs="Calibri"/>
          <w:sz w:val="22"/>
          <w:szCs w:val="22"/>
        </w:rPr>
        <w:t>).</w:t>
      </w:r>
      <w:r w:rsidR="0018270C" w:rsidRPr="0018270C">
        <w:rPr>
          <w:rFonts w:ascii="Calibri" w:hAnsi="Calibri" w:cs="Calibri"/>
          <w:sz w:val="22"/>
          <w:szCs w:val="22"/>
        </w:rPr>
        <w:t xml:space="preserve"> </w:t>
      </w:r>
      <w:r w:rsidR="0057302D" w:rsidRPr="0057302D">
        <w:rPr>
          <w:rFonts w:ascii="Calibri" w:hAnsi="Calibri" w:cs="Calibri"/>
          <w:sz w:val="22"/>
          <w:szCs w:val="22"/>
        </w:rPr>
        <w:t xml:space="preserve">Results revealed after 39 hours, the accumulative nitrogen release for </w:t>
      </w:r>
      <w:r w:rsidR="004A7C0A">
        <w:rPr>
          <w:rFonts w:ascii="Calibri" w:hAnsi="Calibri" w:cs="Calibri"/>
          <w:sz w:val="22"/>
          <w:szCs w:val="22"/>
        </w:rPr>
        <w:t xml:space="preserve">PLLA </w:t>
      </w:r>
      <w:r w:rsidR="0057302D" w:rsidRPr="0057302D">
        <w:rPr>
          <w:rFonts w:ascii="Calibri" w:hAnsi="Calibri" w:cs="Calibri"/>
          <w:sz w:val="22"/>
          <w:szCs w:val="22"/>
        </w:rPr>
        <w:t>nanofibers</w:t>
      </w:r>
      <w:r w:rsidR="00B95A1A">
        <w:rPr>
          <w:rFonts w:ascii="Calibri" w:hAnsi="Calibri" w:cs="Calibri"/>
          <w:sz w:val="22"/>
          <w:szCs w:val="22"/>
        </w:rPr>
        <w:t xml:space="preserve"> loading 10%, 20%, and 40% urea concentration</w:t>
      </w:r>
      <w:r w:rsidR="0057302D" w:rsidRPr="0057302D">
        <w:rPr>
          <w:rFonts w:ascii="Calibri" w:hAnsi="Calibri" w:cs="Calibri"/>
          <w:sz w:val="22"/>
          <w:szCs w:val="22"/>
        </w:rPr>
        <w:t xml:space="preserve"> had achieved over 80% release</w:t>
      </w:r>
      <w:r w:rsidR="00B95A1A">
        <w:rPr>
          <w:rFonts w:ascii="Calibri" w:hAnsi="Calibri" w:cs="Calibri"/>
          <w:sz w:val="22"/>
          <w:szCs w:val="22"/>
        </w:rPr>
        <w:t xml:space="preserve"> and nitrogen release prolonged up to 3000 hours</w:t>
      </w:r>
      <w:r w:rsidR="004A7C0A">
        <w:rPr>
          <w:rFonts w:ascii="Calibri" w:hAnsi="Calibri" w:cs="Calibri"/>
          <w:sz w:val="22"/>
          <w:szCs w:val="22"/>
        </w:rPr>
        <w:t xml:space="preserve"> for all samples</w:t>
      </w:r>
      <w:r w:rsidR="00B95A1A">
        <w:rPr>
          <w:rFonts w:ascii="Calibri" w:hAnsi="Calibri" w:cs="Calibri"/>
          <w:sz w:val="22"/>
          <w:szCs w:val="22"/>
        </w:rPr>
        <w:t xml:space="preserve">. </w:t>
      </w:r>
    </w:p>
    <w:p w14:paraId="23D29014" w14:textId="70FD3401" w:rsidR="0087591F" w:rsidRPr="004A7C0A" w:rsidRDefault="0087591F" w:rsidP="00B95A1A">
      <w:pPr>
        <w:ind w:left="284" w:right="284"/>
        <w:jc w:val="both"/>
        <w:rPr>
          <w:rFonts w:ascii="Calibri" w:hAnsi="Calibri" w:cs="Calibri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8240" behindDoc="1" locked="0" layoutInCell="1" allowOverlap="1" wp14:anchorId="568E4E86" wp14:editId="59DE573B">
            <wp:simplePos x="0" y="0"/>
            <wp:positionH relativeFrom="column">
              <wp:posOffset>3442335</wp:posOffset>
            </wp:positionH>
            <wp:positionV relativeFrom="paragraph">
              <wp:posOffset>118110</wp:posOffset>
            </wp:positionV>
            <wp:extent cx="276225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451" y="21438"/>
                <wp:lineTo x="21451" y="0"/>
                <wp:lineTo x="0" y="0"/>
              </wp:wrapPolygon>
            </wp:wrapTight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BEF061" w14:textId="3948CCB7" w:rsidR="0087591F" w:rsidRPr="0087591F" w:rsidRDefault="00EB70A1" w:rsidP="0087591F">
      <w:pPr>
        <w:tabs>
          <w:tab w:val="left" w:pos="441"/>
        </w:tabs>
        <w:spacing w:line="360" w:lineRule="auto"/>
        <w:contextualSpacing/>
        <w:rPr>
          <w:rFonts w:asciiTheme="minorHAnsi" w:hAnsiTheme="minorHAnsi"/>
          <w:sz w:val="16"/>
          <w:szCs w:val="16"/>
        </w:rPr>
      </w:pPr>
      <w:r w:rsidRPr="00EB70A1">
        <w:rPr>
          <w:rFonts w:asciiTheme="majorBidi" w:hAnsiTheme="majorBidi" w:cstheme="majorBidi"/>
          <w:b/>
          <w:sz w:val="20"/>
          <w:szCs w:val="20"/>
        </w:rPr>
        <w:t xml:space="preserve"> </w:t>
      </w:r>
      <w:r w:rsidR="0087591F">
        <w:rPr>
          <w:rFonts w:asciiTheme="majorBidi" w:hAnsiTheme="majorBidi" w:cstheme="majorBidi"/>
          <w:b/>
          <w:sz w:val="20"/>
          <w:szCs w:val="20"/>
        </w:rPr>
        <w:tab/>
      </w:r>
      <w:r w:rsidR="0087591F" w:rsidRPr="0087591F">
        <w:rPr>
          <w:rFonts w:asciiTheme="minorHAnsi" w:hAnsiTheme="minorHAnsi" w:cstheme="majorBidi"/>
          <w:b/>
          <w:sz w:val="16"/>
          <w:szCs w:val="16"/>
        </w:rPr>
        <w:t>Table 1.</w:t>
      </w:r>
      <w:r w:rsidR="0087591F" w:rsidRPr="0087591F">
        <w:rPr>
          <w:rFonts w:asciiTheme="minorHAnsi" w:hAnsiTheme="minorHAnsi" w:cstheme="majorBidi"/>
          <w:sz w:val="16"/>
          <w:szCs w:val="16"/>
        </w:rPr>
        <w:t xml:space="preserve"> Effect of urea concentration on </w:t>
      </w:r>
      <w:proofErr w:type="spellStart"/>
      <w:r w:rsidR="0087591F" w:rsidRPr="0087591F">
        <w:rPr>
          <w:rFonts w:asciiTheme="minorHAnsi" w:hAnsiTheme="minorHAnsi" w:cstheme="majorBidi"/>
          <w:sz w:val="16"/>
          <w:szCs w:val="16"/>
        </w:rPr>
        <w:t>electrospun</w:t>
      </w:r>
      <w:proofErr w:type="spellEnd"/>
      <w:r w:rsidR="0087591F" w:rsidRPr="0087591F">
        <w:rPr>
          <w:rFonts w:asciiTheme="minorHAnsi" w:hAnsiTheme="minorHAnsi" w:cstheme="majorBidi"/>
          <w:sz w:val="16"/>
          <w:szCs w:val="16"/>
        </w:rPr>
        <w:t xml:space="preserve"> nanofiber diameter. </w:t>
      </w:r>
    </w:p>
    <w:tbl>
      <w:tblPr>
        <w:tblStyle w:val="TableGrid"/>
        <w:tblpPr w:leftFromText="180" w:rightFromText="180" w:vertAnchor="text" w:horzAnchor="page" w:tblpX="1561" w:tblpY="-7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2"/>
        <w:gridCol w:w="1120"/>
        <w:gridCol w:w="986"/>
      </w:tblGrid>
      <w:tr w:rsidR="0087591F" w:rsidRPr="007916E1" w:rsidDel="00737DAA" w14:paraId="76130C3E" w14:textId="77777777" w:rsidTr="00224006">
        <w:trPr>
          <w:trHeight w:val="377"/>
        </w:trPr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14:paraId="4AE1057A" w14:textId="77777777" w:rsidR="0087591F" w:rsidRPr="0087591F" w:rsidDel="00737DAA" w:rsidRDefault="0087591F" w:rsidP="0087591F">
            <w:pPr>
              <w:tabs>
                <w:tab w:val="left" w:pos="441"/>
              </w:tabs>
              <w:spacing w:line="360" w:lineRule="auto"/>
              <w:contextualSpacing/>
              <w:jc w:val="center"/>
              <w:rPr>
                <w:rFonts w:cs="Times New Roman"/>
                <w:sz w:val="15"/>
                <w:szCs w:val="15"/>
                <w:shd w:val="clear" w:color="auto" w:fill="FFFFFF"/>
              </w:rPr>
            </w:pPr>
            <w:r w:rsidRPr="0087591F" w:rsidDel="00737DAA">
              <w:rPr>
                <w:rFonts w:cs="Times New Roman"/>
                <w:sz w:val="15"/>
                <w:szCs w:val="15"/>
                <w:shd w:val="clear" w:color="auto" w:fill="FFFFFF"/>
              </w:rPr>
              <w:t>Urea Concentration (*% w/w)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359BE347" w14:textId="77777777" w:rsidR="0087591F" w:rsidRPr="0087591F" w:rsidDel="00737DAA" w:rsidRDefault="0087591F" w:rsidP="0087591F">
            <w:pPr>
              <w:tabs>
                <w:tab w:val="left" w:pos="441"/>
              </w:tabs>
              <w:spacing w:line="360" w:lineRule="auto"/>
              <w:contextualSpacing/>
              <w:jc w:val="center"/>
              <w:rPr>
                <w:rFonts w:cs="Times New Roman"/>
                <w:sz w:val="15"/>
                <w:szCs w:val="15"/>
                <w:shd w:val="clear" w:color="auto" w:fill="FFFFFF"/>
              </w:rPr>
            </w:pPr>
            <w:proofErr w:type="spellStart"/>
            <w:r w:rsidRPr="0087591F" w:rsidDel="00737DAA">
              <w:rPr>
                <w:rFonts w:cs="Times New Roman"/>
                <w:sz w:val="15"/>
                <w:szCs w:val="15"/>
                <w:shd w:val="clear" w:color="auto" w:fill="FFFFFF"/>
              </w:rPr>
              <w:t>Nanofib</w:t>
            </w:r>
            <w:r w:rsidRPr="0087591F">
              <w:rPr>
                <w:rFonts w:cs="Times New Roman"/>
                <w:sz w:val="15"/>
                <w:szCs w:val="15"/>
                <w:shd w:val="clear" w:color="auto" w:fill="FFFFFF"/>
              </w:rPr>
              <w:t>re</w:t>
            </w:r>
            <w:proofErr w:type="spellEnd"/>
            <w:r w:rsidRPr="0087591F" w:rsidDel="00737DAA">
              <w:rPr>
                <w:rFonts w:cs="Times New Roman"/>
                <w:sz w:val="15"/>
                <w:szCs w:val="15"/>
                <w:shd w:val="clear" w:color="auto" w:fill="FFFFFF"/>
              </w:rPr>
              <w:t xml:space="preserve"> diameter (nm)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386AD8FC" w14:textId="77777777" w:rsidR="0087591F" w:rsidRPr="0087591F" w:rsidDel="00737DAA" w:rsidRDefault="0087591F" w:rsidP="0087591F">
            <w:pPr>
              <w:tabs>
                <w:tab w:val="left" w:pos="441"/>
              </w:tabs>
              <w:spacing w:line="360" w:lineRule="auto"/>
              <w:contextualSpacing/>
              <w:jc w:val="center"/>
              <w:rPr>
                <w:rFonts w:cs="Times New Roman"/>
                <w:sz w:val="15"/>
                <w:szCs w:val="15"/>
                <w:shd w:val="clear" w:color="auto" w:fill="FFFFFF"/>
              </w:rPr>
            </w:pPr>
            <w:r w:rsidRPr="0087591F" w:rsidDel="00737DAA">
              <w:rPr>
                <w:rFonts w:cs="Times New Roman"/>
                <w:sz w:val="15"/>
                <w:szCs w:val="15"/>
                <w:shd w:val="clear" w:color="auto" w:fill="FFFFFF"/>
                <w:vertAlign w:val="superscript"/>
              </w:rPr>
              <w:t>**</w:t>
            </w:r>
            <w:r w:rsidRPr="0087591F" w:rsidDel="00737DAA">
              <w:rPr>
                <w:rFonts w:cs="Times New Roman"/>
                <w:sz w:val="15"/>
                <w:szCs w:val="15"/>
                <w:shd w:val="clear" w:color="auto" w:fill="FFFFFF"/>
              </w:rPr>
              <w:t>CV%</w:t>
            </w:r>
          </w:p>
        </w:tc>
      </w:tr>
      <w:tr w:rsidR="0087591F" w:rsidRPr="007916E1" w:rsidDel="00737DAA" w14:paraId="30BCF6A8" w14:textId="77777777" w:rsidTr="00224006">
        <w:trPr>
          <w:trHeight w:val="362"/>
        </w:trPr>
        <w:tc>
          <w:tcPr>
            <w:tcW w:w="1532" w:type="dxa"/>
            <w:tcBorders>
              <w:top w:val="single" w:sz="4" w:space="0" w:color="auto"/>
            </w:tcBorders>
          </w:tcPr>
          <w:p w14:paraId="53C9986A" w14:textId="77777777" w:rsidR="0087591F" w:rsidRPr="0087591F" w:rsidDel="00737DAA" w:rsidRDefault="0087591F" w:rsidP="0087591F">
            <w:pPr>
              <w:tabs>
                <w:tab w:val="left" w:pos="441"/>
              </w:tabs>
              <w:spacing w:line="360" w:lineRule="auto"/>
              <w:contextualSpacing/>
              <w:jc w:val="center"/>
              <w:rPr>
                <w:rFonts w:cs="Times New Roman"/>
                <w:sz w:val="15"/>
                <w:szCs w:val="15"/>
                <w:shd w:val="clear" w:color="auto" w:fill="FFFFFF"/>
              </w:rPr>
            </w:pPr>
            <w:r w:rsidRPr="0087591F" w:rsidDel="00737DAA">
              <w:rPr>
                <w:rFonts w:cs="Times New Roman"/>
                <w:sz w:val="15"/>
                <w:szCs w:val="15"/>
                <w:shd w:val="clear" w:color="auto" w:fill="FFFFFF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77E8F7F1" w14:textId="77777777" w:rsidR="0087591F" w:rsidRPr="0087591F" w:rsidDel="00737DAA" w:rsidRDefault="0087591F" w:rsidP="0087591F">
            <w:pPr>
              <w:tabs>
                <w:tab w:val="left" w:pos="441"/>
              </w:tabs>
              <w:spacing w:line="360" w:lineRule="auto"/>
              <w:contextualSpacing/>
              <w:jc w:val="center"/>
              <w:rPr>
                <w:rFonts w:cs="Times New Roman"/>
                <w:sz w:val="15"/>
                <w:szCs w:val="15"/>
                <w:shd w:val="clear" w:color="auto" w:fill="FFFFFF"/>
              </w:rPr>
            </w:pPr>
            <w:r w:rsidRPr="0087591F" w:rsidDel="00737DAA">
              <w:rPr>
                <w:rFonts w:cs="Times New Roman"/>
                <w:sz w:val="15"/>
                <w:szCs w:val="15"/>
                <w:shd w:val="clear" w:color="auto" w:fill="FFFFFF"/>
              </w:rPr>
              <w:t>496.183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3F7CC5CC" w14:textId="77777777" w:rsidR="0087591F" w:rsidRPr="0087591F" w:rsidDel="00737DAA" w:rsidRDefault="0087591F" w:rsidP="0087591F">
            <w:pPr>
              <w:tabs>
                <w:tab w:val="left" w:pos="441"/>
              </w:tabs>
              <w:spacing w:line="360" w:lineRule="auto"/>
              <w:contextualSpacing/>
              <w:jc w:val="center"/>
              <w:rPr>
                <w:rFonts w:cs="Times New Roman"/>
                <w:sz w:val="15"/>
                <w:szCs w:val="15"/>
                <w:shd w:val="clear" w:color="auto" w:fill="FFFFFF"/>
              </w:rPr>
            </w:pPr>
            <w:r w:rsidRPr="0087591F" w:rsidDel="00737DAA">
              <w:rPr>
                <w:rFonts w:cs="Times New Roman"/>
                <w:sz w:val="15"/>
                <w:szCs w:val="15"/>
                <w:shd w:val="clear" w:color="auto" w:fill="FFFFFF"/>
              </w:rPr>
              <w:t>22%</w:t>
            </w:r>
          </w:p>
        </w:tc>
      </w:tr>
      <w:tr w:rsidR="0087591F" w:rsidRPr="007916E1" w:rsidDel="00737DAA" w14:paraId="277DEB17" w14:textId="77777777" w:rsidTr="00224006">
        <w:trPr>
          <w:trHeight w:val="377"/>
        </w:trPr>
        <w:tc>
          <w:tcPr>
            <w:tcW w:w="1532" w:type="dxa"/>
          </w:tcPr>
          <w:p w14:paraId="5C4F52D0" w14:textId="77777777" w:rsidR="0087591F" w:rsidRPr="0087591F" w:rsidDel="00737DAA" w:rsidRDefault="0087591F" w:rsidP="0087591F">
            <w:pPr>
              <w:tabs>
                <w:tab w:val="left" w:pos="441"/>
              </w:tabs>
              <w:spacing w:line="360" w:lineRule="auto"/>
              <w:contextualSpacing/>
              <w:jc w:val="center"/>
              <w:rPr>
                <w:rFonts w:cs="Times New Roman"/>
                <w:sz w:val="15"/>
                <w:szCs w:val="15"/>
                <w:shd w:val="clear" w:color="auto" w:fill="FFFFFF"/>
              </w:rPr>
            </w:pPr>
            <w:r w:rsidRPr="0087591F" w:rsidDel="00737DAA">
              <w:rPr>
                <w:rFonts w:cs="Times New Roman"/>
                <w:sz w:val="15"/>
                <w:szCs w:val="15"/>
                <w:shd w:val="clear" w:color="auto" w:fill="FFFFFF"/>
              </w:rPr>
              <w:t>10</w:t>
            </w:r>
          </w:p>
        </w:tc>
        <w:tc>
          <w:tcPr>
            <w:tcW w:w="1120" w:type="dxa"/>
          </w:tcPr>
          <w:p w14:paraId="6A28CFD9" w14:textId="77777777" w:rsidR="0087591F" w:rsidRPr="0087591F" w:rsidDel="00737DAA" w:rsidRDefault="0087591F" w:rsidP="0087591F">
            <w:pPr>
              <w:tabs>
                <w:tab w:val="left" w:pos="441"/>
              </w:tabs>
              <w:spacing w:line="360" w:lineRule="auto"/>
              <w:contextualSpacing/>
              <w:jc w:val="center"/>
              <w:rPr>
                <w:rFonts w:cs="Times New Roman"/>
                <w:sz w:val="15"/>
                <w:szCs w:val="15"/>
                <w:shd w:val="clear" w:color="auto" w:fill="FFFFFF"/>
              </w:rPr>
            </w:pPr>
            <w:r w:rsidRPr="0087591F" w:rsidDel="00737DAA">
              <w:rPr>
                <w:rFonts w:cs="Times New Roman"/>
                <w:sz w:val="15"/>
                <w:szCs w:val="15"/>
                <w:shd w:val="clear" w:color="auto" w:fill="FFFFFF"/>
              </w:rPr>
              <w:t>650.154</w:t>
            </w:r>
          </w:p>
        </w:tc>
        <w:tc>
          <w:tcPr>
            <w:tcW w:w="986" w:type="dxa"/>
          </w:tcPr>
          <w:p w14:paraId="3ABAB351" w14:textId="77777777" w:rsidR="0087591F" w:rsidRPr="0087591F" w:rsidDel="00737DAA" w:rsidRDefault="0087591F" w:rsidP="0087591F">
            <w:pPr>
              <w:tabs>
                <w:tab w:val="left" w:pos="441"/>
              </w:tabs>
              <w:spacing w:line="360" w:lineRule="auto"/>
              <w:contextualSpacing/>
              <w:jc w:val="center"/>
              <w:rPr>
                <w:rFonts w:cs="Times New Roman"/>
                <w:sz w:val="15"/>
                <w:szCs w:val="15"/>
                <w:shd w:val="clear" w:color="auto" w:fill="FFFFFF"/>
              </w:rPr>
            </w:pPr>
            <w:r w:rsidRPr="0087591F" w:rsidDel="00737DAA">
              <w:rPr>
                <w:rFonts w:cs="Times New Roman"/>
                <w:sz w:val="15"/>
                <w:szCs w:val="15"/>
                <w:shd w:val="clear" w:color="auto" w:fill="FFFFFF"/>
              </w:rPr>
              <w:t>33%</w:t>
            </w:r>
          </w:p>
        </w:tc>
      </w:tr>
      <w:tr w:rsidR="0087591F" w:rsidRPr="007916E1" w:rsidDel="00737DAA" w14:paraId="69527A3B" w14:textId="77777777" w:rsidTr="00224006">
        <w:trPr>
          <w:trHeight w:val="377"/>
        </w:trPr>
        <w:tc>
          <w:tcPr>
            <w:tcW w:w="1532" w:type="dxa"/>
          </w:tcPr>
          <w:p w14:paraId="24B0A1D5" w14:textId="77777777" w:rsidR="0087591F" w:rsidRPr="0087591F" w:rsidDel="00737DAA" w:rsidRDefault="0087591F" w:rsidP="0087591F">
            <w:pPr>
              <w:tabs>
                <w:tab w:val="left" w:pos="441"/>
              </w:tabs>
              <w:spacing w:line="360" w:lineRule="auto"/>
              <w:contextualSpacing/>
              <w:jc w:val="center"/>
              <w:rPr>
                <w:rFonts w:cs="Times New Roman"/>
                <w:sz w:val="15"/>
                <w:szCs w:val="15"/>
                <w:shd w:val="clear" w:color="auto" w:fill="FFFFFF"/>
              </w:rPr>
            </w:pPr>
            <w:r w:rsidRPr="0087591F" w:rsidDel="00737DAA">
              <w:rPr>
                <w:rFonts w:cs="Times New Roman"/>
                <w:sz w:val="15"/>
                <w:szCs w:val="15"/>
                <w:shd w:val="clear" w:color="auto" w:fill="FFFFFF"/>
              </w:rPr>
              <w:t>20</w:t>
            </w:r>
          </w:p>
        </w:tc>
        <w:tc>
          <w:tcPr>
            <w:tcW w:w="1120" w:type="dxa"/>
          </w:tcPr>
          <w:p w14:paraId="273D1F01" w14:textId="77777777" w:rsidR="0087591F" w:rsidRPr="0087591F" w:rsidDel="00737DAA" w:rsidRDefault="0087591F" w:rsidP="0087591F">
            <w:pPr>
              <w:tabs>
                <w:tab w:val="left" w:pos="441"/>
              </w:tabs>
              <w:spacing w:line="360" w:lineRule="auto"/>
              <w:contextualSpacing/>
              <w:jc w:val="center"/>
              <w:rPr>
                <w:rFonts w:cs="Times New Roman"/>
                <w:sz w:val="15"/>
                <w:szCs w:val="15"/>
                <w:shd w:val="clear" w:color="auto" w:fill="FFFFFF"/>
              </w:rPr>
            </w:pPr>
            <w:r w:rsidRPr="0087591F" w:rsidDel="00737DAA">
              <w:rPr>
                <w:rFonts w:cs="Times New Roman"/>
                <w:sz w:val="15"/>
                <w:szCs w:val="15"/>
                <w:shd w:val="clear" w:color="auto" w:fill="FFFFFF"/>
              </w:rPr>
              <w:t>710.000</w:t>
            </w:r>
          </w:p>
        </w:tc>
        <w:tc>
          <w:tcPr>
            <w:tcW w:w="986" w:type="dxa"/>
          </w:tcPr>
          <w:p w14:paraId="6EDB2CCC" w14:textId="77777777" w:rsidR="0087591F" w:rsidRPr="0087591F" w:rsidDel="00737DAA" w:rsidRDefault="0087591F" w:rsidP="0087591F">
            <w:pPr>
              <w:tabs>
                <w:tab w:val="left" w:pos="441"/>
              </w:tabs>
              <w:spacing w:line="360" w:lineRule="auto"/>
              <w:contextualSpacing/>
              <w:jc w:val="center"/>
              <w:rPr>
                <w:rFonts w:cs="Times New Roman"/>
                <w:sz w:val="15"/>
                <w:szCs w:val="15"/>
                <w:shd w:val="clear" w:color="auto" w:fill="FFFFFF"/>
              </w:rPr>
            </w:pPr>
            <w:r w:rsidRPr="0087591F" w:rsidDel="00737DAA">
              <w:rPr>
                <w:rFonts w:cs="Times New Roman"/>
                <w:sz w:val="15"/>
                <w:szCs w:val="15"/>
                <w:shd w:val="clear" w:color="auto" w:fill="FFFFFF"/>
              </w:rPr>
              <w:t>37%</w:t>
            </w:r>
          </w:p>
        </w:tc>
      </w:tr>
      <w:tr w:rsidR="0087591F" w:rsidRPr="007916E1" w:rsidDel="00737DAA" w14:paraId="58E78752" w14:textId="77777777" w:rsidTr="00224006">
        <w:trPr>
          <w:trHeight w:val="75"/>
        </w:trPr>
        <w:tc>
          <w:tcPr>
            <w:tcW w:w="1532" w:type="dxa"/>
          </w:tcPr>
          <w:p w14:paraId="1C280779" w14:textId="77777777" w:rsidR="0087591F" w:rsidRPr="0087591F" w:rsidDel="00737DAA" w:rsidRDefault="0087591F" w:rsidP="0087591F">
            <w:pPr>
              <w:tabs>
                <w:tab w:val="left" w:pos="441"/>
              </w:tabs>
              <w:spacing w:line="360" w:lineRule="auto"/>
              <w:contextualSpacing/>
              <w:jc w:val="center"/>
              <w:rPr>
                <w:rFonts w:cs="Times New Roman"/>
                <w:sz w:val="15"/>
                <w:szCs w:val="15"/>
                <w:shd w:val="clear" w:color="auto" w:fill="FFFFFF"/>
              </w:rPr>
            </w:pPr>
            <w:r w:rsidRPr="0087591F" w:rsidDel="00737DAA">
              <w:rPr>
                <w:rFonts w:cs="Times New Roman"/>
                <w:sz w:val="15"/>
                <w:szCs w:val="15"/>
                <w:shd w:val="clear" w:color="auto" w:fill="FFFFFF"/>
              </w:rPr>
              <w:t>40</w:t>
            </w:r>
          </w:p>
        </w:tc>
        <w:tc>
          <w:tcPr>
            <w:tcW w:w="1120" w:type="dxa"/>
          </w:tcPr>
          <w:p w14:paraId="46B35EDC" w14:textId="77777777" w:rsidR="0087591F" w:rsidRPr="0087591F" w:rsidDel="00737DAA" w:rsidRDefault="0087591F" w:rsidP="0087591F">
            <w:pPr>
              <w:tabs>
                <w:tab w:val="left" w:pos="441"/>
              </w:tabs>
              <w:spacing w:line="360" w:lineRule="auto"/>
              <w:contextualSpacing/>
              <w:jc w:val="center"/>
              <w:rPr>
                <w:rFonts w:cs="Times New Roman"/>
                <w:sz w:val="15"/>
                <w:szCs w:val="15"/>
                <w:shd w:val="clear" w:color="auto" w:fill="FFFFFF"/>
              </w:rPr>
            </w:pPr>
            <w:r w:rsidRPr="0087591F" w:rsidDel="00737DAA">
              <w:rPr>
                <w:rFonts w:cs="Times New Roman"/>
                <w:sz w:val="15"/>
                <w:szCs w:val="15"/>
                <w:shd w:val="clear" w:color="auto" w:fill="FFFFFF"/>
              </w:rPr>
              <w:t>782.231</w:t>
            </w:r>
          </w:p>
        </w:tc>
        <w:tc>
          <w:tcPr>
            <w:tcW w:w="986" w:type="dxa"/>
          </w:tcPr>
          <w:p w14:paraId="6A4AF6B6" w14:textId="77777777" w:rsidR="0087591F" w:rsidRPr="0087591F" w:rsidDel="00737DAA" w:rsidRDefault="0087591F" w:rsidP="0087591F">
            <w:pPr>
              <w:tabs>
                <w:tab w:val="left" w:pos="441"/>
              </w:tabs>
              <w:spacing w:line="360" w:lineRule="auto"/>
              <w:contextualSpacing/>
              <w:jc w:val="center"/>
              <w:rPr>
                <w:rFonts w:cs="Times New Roman"/>
                <w:sz w:val="15"/>
                <w:szCs w:val="15"/>
                <w:shd w:val="clear" w:color="auto" w:fill="FFFFFF"/>
              </w:rPr>
            </w:pPr>
            <w:r w:rsidRPr="0087591F" w:rsidDel="00737DAA">
              <w:rPr>
                <w:rFonts w:cs="Times New Roman"/>
                <w:sz w:val="15"/>
                <w:szCs w:val="15"/>
                <w:shd w:val="clear" w:color="auto" w:fill="FFFFFF"/>
              </w:rPr>
              <w:t>31%</w:t>
            </w:r>
          </w:p>
        </w:tc>
      </w:tr>
    </w:tbl>
    <w:p w14:paraId="5BE82CB7" w14:textId="77777777" w:rsidR="0087591F" w:rsidRDefault="0087591F" w:rsidP="0087591F">
      <w:pPr>
        <w:tabs>
          <w:tab w:val="left" w:pos="5850"/>
        </w:tabs>
        <w:ind w:left="283" w:right="283"/>
        <w:contextualSpacing/>
        <w:jc w:val="both"/>
        <w:rPr>
          <w:rFonts w:ascii="Calibri" w:hAnsi="Calibri" w:cs="Calibri"/>
          <w:b/>
          <w:bCs/>
          <w:lang w:val="en-AU"/>
        </w:rPr>
      </w:pPr>
    </w:p>
    <w:p w14:paraId="58A2F86F" w14:textId="77777777" w:rsidR="0087591F" w:rsidRDefault="0087591F" w:rsidP="0087591F">
      <w:pPr>
        <w:tabs>
          <w:tab w:val="left" w:pos="5850"/>
        </w:tabs>
        <w:ind w:left="283" w:right="283"/>
        <w:contextualSpacing/>
        <w:jc w:val="both"/>
        <w:rPr>
          <w:rFonts w:ascii="Calibri" w:hAnsi="Calibri" w:cs="Calibri"/>
          <w:b/>
          <w:bCs/>
          <w:lang w:val="en-AU"/>
        </w:rPr>
      </w:pPr>
    </w:p>
    <w:p w14:paraId="48E44269" w14:textId="77777777" w:rsidR="0087591F" w:rsidRDefault="0087591F" w:rsidP="0087591F">
      <w:pPr>
        <w:tabs>
          <w:tab w:val="left" w:pos="5850"/>
        </w:tabs>
        <w:ind w:left="283" w:right="283"/>
        <w:contextualSpacing/>
        <w:jc w:val="both"/>
        <w:rPr>
          <w:rFonts w:ascii="Calibri" w:hAnsi="Calibri" w:cs="Calibri"/>
          <w:b/>
          <w:bCs/>
          <w:lang w:val="en-AU"/>
        </w:rPr>
      </w:pPr>
    </w:p>
    <w:p w14:paraId="2E93A004" w14:textId="77777777" w:rsidR="0087591F" w:rsidRDefault="0087591F" w:rsidP="0087591F">
      <w:pPr>
        <w:tabs>
          <w:tab w:val="left" w:pos="5850"/>
        </w:tabs>
        <w:ind w:left="283" w:right="283"/>
        <w:contextualSpacing/>
        <w:jc w:val="both"/>
        <w:rPr>
          <w:rFonts w:ascii="Calibri" w:hAnsi="Calibri" w:cs="Calibri"/>
          <w:b/>
          <w:bCs/>
          <w:lang w:val="en-AU"/>
        </w:rPr>
      </w:pPr>
    </w:p>
    <w:p w14:paraId="4A145F34" w14:textId="5822A65E" w:rsidR="0087591F" w:rsidRDefault="0087591F" w:rsidP="0087591F">
      <w:pPr>
        <w:tabs>
          <w:tab w:val="left" w:pos="5850"/>
        </w:tabs>
        <w:ind w:left="283" w:right="283"/>
        <w:contextualSpacing/>
        <w:jc w:val="both"/>
        <w:rPr>
          <w:rFonts w:asciiTheme="minorHAnsi" w:hAnsiTheme="minorHAnsi" w:cstheme="majorBidi"/>
          <w:sz w:val="16"/>
          <w:szCs w:val="16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 w:rsidRPr="0087591F">
        <w:rPr>
          <w:rFonts w:asciiTheme="minorHAnsi" w:hAnsiTheme="minorHAnsi" w:cstheme="majorBidi"/>
          <w:b/>
          <w:sz w:val="16"/>
          <w:szCs w:val="16"/>
        </w:rPr>
        <w:t xml:space="preserve">Figure </w:t>
      </w:r>
      <w:r>
        <w:rPr>
          <w:rFonts w:asciiTheme="minorHAnsi" w:hAnsiTheme="minorHAnsi" w:cstheme="majorBidi"/>
          <w:b/>
          <w:sz w:val="16"/>
          <w:szCs w:val="16"/>
        </w:rPr>
        <w:t>1.</w:t>
      </w:r>
      <w:r w:rsidRPr="0087591F">
        <w:rPr>
          <w:rFonts w:asciiTheme="minorHAnsi" w:hAnsiTheme="minorHAnsi" w:cstheme="majorBidi"/>
          <w:b/>
          <w:sz w:val="16"/>
          <w:szCs w:val="16"/>
        </w:rPr>
        <w:t xml:space="preserve"> </w:t>
      </w:r>
      <w:r w:rsidRPr="0087591F">
        <w:rPr>
          <w:rFonts w:asciiTheme="minorHAnsi" w:hAnsiTheme="minorHAnsi" w:cstheme="majorBidi"/>
          <w:sz w:val="16"/>
          <w:szCs w:val="16"/>
        </w:rPr>
        <w:t>Cumulative nitrogen release from nanofib</w:t>
      </w:r>
      <w:r>
        <w:rPr>
          <w:rFonts w:asciiTheme="minorHAnsi" w:hAnsiTheme="minorHAnsi" w:cstheme="majorBidi"/>
          <w:sz w:val="16"/>
          <w:szCs w:val="16"/>
        </w:rPr>
        <w:t>ers</w:t>
      </w:r>
    </w:p>
    <w:p w14:paraId="181C748C" w14:textId="44553D50" w:rsidR="00641190" w:rsidRPr="0087591F" w:rsidRDefault="0087591F" w:rsidP="0087591F">
      <w:pPr>
        <w:tabs>
          <w:tab w:val="left" w:pos="5850"/>
        </w:tabs>
        <w:ind w:left="283" w:right="283"/>
        <w:contextualSpacing/>
        <w:rPr>
          <w:rFonts w:asciiTheme="minorHAnsi" w:hAnsiTheme="minorHAnsi" w:cs="Calibri"/>
          <w:b/>
          <w:bCs/>
          <w:sz w:val="16"/>
          <w:szCs w:val="16"/>
        </w:rPr>
      </w:pPr>
      <w:r w:rsidRPr="0087591F">
        <w:rPr>
          <w:rFonts w:asciiTheme="minorHAnsi" w:hAnsiTheme="minorHAnsi" w:cstheme="majorBidi"/>
          <w:sz w:val="16"/>
          <w:szCs w:val="16"/>
        </w:rPr>
        <w:t xml:space="preserve"> </w:t>
      </w:r>
      <w:r w:rsidRPr="000A6D19">
        <w:rPr>
          <w:rFonts w:ascii="Calibri" w:hAnsi="Calibri" w:cs="Calibri"/>
          <w:b/>
          <w:bCs/>
          <w:lang w:val="en-AU"/>
        </w:rPr>
        <w:t>Conclusion</w:t>
      </w:r>
    </w:p>
    <w:p w14:paraId="54068708" w14:textId="741F354C" w:rsidR="004A7C0A" w:rsidRPr="00DF38B8" w:rsidRDefault="004A7C0A" w:rsidP="006A3835">
      <w:pPr>
        <w:ind w:left="283" w:right="283"/>
        <w:contextualSpacing/>
        <w:jc w:val="both"/>
        <w:rPr>
          <w:rFonts w:ascii="Calibri" w:hAnsi="Calibri" w:cs="Calibri"/>
          <w:sz w:val="22"/>
          <w:szCs w:val="22"/>
        </w:rPr>
      </w:pPr>
      <w:r w:rsidRPr="00DF38B8">
        <w:rPr>
          <w:rFonts w:ascii="Calibri" w:hAnsi="Calibri" w:cs="Calibri"/>
          <w:sz w:val="22"/>
          <w:szCs w:val="22"/>
        </w:rPr>
        <w:t xml:space="preserve">Increasing </w:t>
      </w:r>
      <w:r w:rsidR="006A3835" w:rsidRPr="00DF38B8">
        <w:rPr>
          <w:rFonts w:ascii="Calibri" w:hAnsi="Calibri" w:cs="Calibri"/>
          <w:sz w:val="22"/>
          <w:szCs w:val="22"/>
        </w:rPr>
        <w:t xml:space="preserve">urea </w:t>
      </w:r>
      <w:r w:rsidRPr="00DF38B8">
        <w:rPr>
          <w:rFonts w:ascii="Calibri" w:hAnsi="Calibri" w:cs="Calibri"/>
          <w:sz w:val="22"/>
          <w:szCs w:val="22"/>
        </w:rPr>
        <w:t xml:space="preserve">percentage loaded into </w:t>
      </w:r>
      <w:r w:rsidR="00DF38B8" w:rsidRPr="00DF38B8">
        <w:rPr>
          <w:rFonts w:ascii="Calibri" w:hAnsi="Calibri" w:cs="Calibri"/>
          <w:sz w:val="22"/>
          <w:szCs w:val="22"/>
        </w:rPr>
        <w:t>nanofibers</w:t>
      </w:r>
      <w:r w:rsidRPr="00DF38B8">
        <w:rPr>
          <w:rFonts w:ascii="Calibri" w:hAnsi="Calibri" w:cs="Calibri"/>
          <w:sz w:val="22"/>
          <w:szCs w:val="22"/>
        </w:rPr>
        <w:t xml:space="preserve"> from 10% to 40% </w:t>
      </w:r>
      <w:r w:rsidR="00DF38B8" w:rsidRPr="00DF38B8">
        <w:rPr>
          <w:rFonts w:ascii="Calibri" w:hAnsi="Calibri" w:cs="Calibri"/>
          <w:sz w:val="22"/>
          <w:szCs w:val="22"/>
        </w:rPr>
        <w:t xml:space="preserve">led to larger nanofiber diameters </w:t>
      </w:r>
      <w:r w:rsidR="00DF38B8">
        <w:rPr>
          <w:rFonts w:ascii="Calibri" w:hAnsi="Calibri" w:cs="Calibri"/>
          <w:sz w:val="22"/>
          <w:szCs w:val="22"/>
        </w:rPr>
        <w:t>and in</w:t>
      </w:r>
      <w:r w:rsidRPr="00DF38B8">
        <w:rPr>
          <w:rFonts w:ascii="Calibri" w:hAnsi="Calibri" w:cs="Calibri"/>
          <w:sz w:val="22"/>
          <w:szCs w:val="22"/>
        </w:rPr>
        <w:t xml:space="preserve">creased initial rate of nitrogen release. </w:t>
      </w:r>
      <w:r w:rsidR="00DF38B8" w:rsidRPr="00DF38B8">
        <w:rPr>
          <w:rFonts w:ascii="Calibri" w:hAnsi="Calibri" w:cs="Calibri"/>
          <w:sz w:val="22"/>
          <w:szCs w:val="22"/>
        </w:rPr>
        <w:t>Furthermore, nanofiber samples released nitrogen for three months</w:t>
      </w:r>
      <w:r w:rsidR="00DF38B8">
        <w:rPr>
          <w:rFonts w:ascii="Calibri" w:hAnsi="Calibri" w:cs="Calibri"/>
          <w:sz w:val="22"/>
          <w:szCs w:val="22"/>
        </w:rPr>
        <w:t>,</w:t>
      </w:r>
      <w:r w:rsidR="00DF38B8" w:rsidRPr="00DF38B8">
        <w:rPr>
          <w:rFonts w:ascii="Calibri" w:hAnsi="Calibri" w:cs="Calibri"/>
          <w:sz w:val="22"/>
          <w:szCs w:val="22"/>
        </w:rPr>
        <w:t xml:space="preserve"> </w:t>
      </w:r>
      <w:r w:rsidR="00DF38B8">
        <w:rPr>
          <w:rFonts w:ascii="Calibri" w:hAnsi="Calibri" w:cs="Calibri"/>
          <w:sz w:val="22"/>
          <w:szCs w:val="22"/>
        </w:rPr>
        <w:t>a</w:t>
      </w:r>
      <w:r w:rsidR="00DF38B8" w:rsidRPr="00DF38B8">
        <w:rPr>
          <w:rFonts w:ascii="Calibri" w:hAnsi="Calibri" w:cs="Calibri"/>
          <w:sz w:val="22"/>
          <w:szCs w:val="22"/>
        </w:rPr>
        <w:t>lthough high urea concentration did not affect the nitrogen release rate significantly</w:t>
      </w:r>
      <w:r w:rsidR="00DF38B8">
        <w:rPr>
          <w:rFonts w:ascii="Calibri" w:hAnsi="Calibri" w:cs="Calibri"/>
          <w:sz w:val="22"/>
          <w:szCs w:val="22"/>
        </w:rPr>
        <w:t>.</w:t>
      </w:r>
      <w:r w:rsidR="00DF38B8" w:rsidRPr="00DF38B8">
        <w:rPr>
          <w:rFonts w:ascii="Calibri" w:hAnsi="Calibri" w:cs="Calibri"/>
          <w:sz w:val="22"/>
          <w:szCs w:val="22"/>
        </w:rPr>
        <w:t xml:space="preserve"> </w:t>
      </w:r>
    </w:p>
    <w:p w14:paraId="193725D9" w14:textId="52D5785E" w:rsidR="005F19FF" w:rsidRPr="005F19FF" w:rsidRDefault="005F19FF" w:rsidP="006A3835">
      <w:pPr>
        <w:ind w:left="283" w:right="283"/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37A3B16D" w14:textId="5E940F92" w:rsidR="0057302D" w:rsidRPr="00EA6837" w:rsidRDefault="0057302D" w:rsidP="006A3835">
      <w:pPr>
        <w:numPr>
          <w:ilvl w:val="0"/>
          <w:numId w:val="1"/>
        </w:numPr>
        <w:shd w:val="clear" w:color="auto" w:fill="FFFFFF"/>
        <w:ind w:left="283" w:right="283" w:hanging="284"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  <w:r w:rsidRPr="00EA6837">
        <w:rPr>
          <w:rFonts w:asciiTheme="minorHAnsi" w:hAnsiTheme="minorHAnsi" w:cstheme="minorHAnsi"/>
          <w:sz w:val="22"/>
          <w:szCs w:val="22"/>
        </w:rPr>
        <w:t>Subbiah, T. et al. (2005)</w:t>
      </w:r>
      <w:r w:rsidR="00EA6837">
        <w:rPr>
          <w:rFonts w:asciiTheme="minorHAnsi" w:hAnsiTheme="minorHAnsi" w:cstheme="minorHAnsi"/>
          <w:sz w:val="22"/>
          <w:szCs w:val="22"/>
        </w:rPr>
        <w:t>.</w:t>
      </w:r>
      <w:r w:rsidRPr="00EA6837">
        <w:rPr>
          <w:rFonts w:asciiTheme="minorHAnsi" w:hAnsiTheme="minorHAnsi" w:cstheme="minorHAnsi"/>
          <w:sz w:val="22"/>
          <w:szCs w:val="22"/>
        </w:rPr>
        <w:t xml:space="preserve"> Electrospinning of Nanofibers</w:t>
      </w:r>
      <w:r w:rsidR="00EA6837">
        <w:rPr>
          <w:rFonts w:asciiTheme="minorHAnsi" w:hAnsiTheme="minorHAnsi" w:cstheme="minorHAnsi"/>
          <w:sz w:val="22"/>
          <w:szCs w:val="22"/>
        </w:rPr>
        <w:t>.</w:t>
      </w:r>
      <w:r w:rsidRPr="00EA6837">
        <w:rPr>
          <w:rFonts w:asciiTheme="minorHAnsi" w:hAnsiTheme="minorHAnsi" w:cstheme="minorHAnsi"/>
          <w:sz w:val="22"/>
          <w:szCs w:val="22"/>
        </w:rPr>
        <w:t xml:space="preserve"> </w:t>
      </w:r>
      <w:r w:rsidR="00EA6837">
        <w:rPr>
          <w:rFonts w:asciiTheme="minorHAnsi" w:hAnsiTheme="minorHAnsi" w:cstheme="minorHAnsi"/>
          <w:sz w:val="22"/>
          <w:szCs w:val="22"/>
        </w:rPr>
        <w:t xml:space="preserve">J. </w:t>
      </w:r>
      <w:r w:rsidRPr="00EA6837">
        <w:rPr>
          <w:rFonts w:asciiTheme="minorHAnsi" w:hAnsiTheme="minorHAnsi" w:cstheme="minorHAnsi"/>
          <w:sz w:val="22"/>
          <w:szCs w:val="22"/>
        </w:rPr>
        <w:t>App</w:t>
      </w:r>
      <w:r w:rsidR="00EA6837">
        <w:rPr>
          <w:rFonts w:asciiTheme="minorHAnsi" w:hAnsiTheme="minorHAnsi" w:cstheme="minorHAnsi"/>
          <w:sz w:val="22"/>
          <w:szCs w:val="22"/>
        </w:rPr>
        <w:t xml:space="preserve">. </w:t>
      </w:r>
      <w:r w:rsidRPr="00EA6837">
        <w:rPr>
          <w:rFonts w:asciiTheme="minorHAnsi" w:hAnsiTheme="minorHAnsi" w:cstheme="minorHAnsi"/>
          <w:sz w:val="22"/>
          <w:szCs w:val="22"/>
        </w:rPr>
        <w:t>Poly</w:t>
      </w:r>
      <w:r w:rsidR="00EA6837">
        <w:rPr>
          <w:rFonts w:asciiTheme="minorHAnsi" w:hAnsiTheme="minorHAnsi" w:cstheme="minorHAnsi"/>
          <w:sz w:val="22"/>
          <w:szCs w:val="22"/>
        </w:rPr>
        <w:t>.</w:t>
      </w:r>
      <w:r w:rsidRPr="00EA6837">
        <w:rPr>
          <w:rFonts w:asciiTheme="minorHAnsi" w:hAnsiTheme="minorHAnsi" w:cstheme="minorHAnsi"/>
          <w:sz w:val="22"/>
          <w:szCs w:val="22"/>
        </w:rPr>
        <w:t xml:space="preserve"> Sci</w:t>
      </w:r>
      <w:r w:rsidR="00EA6837">
        <w:rPr>
          <w:rFonts w:asciiTheme="minorHAnsi" w:hAnsiTheme="minorHAnsi" w:cstheme="minorHAnsi"/>
          <w:sz w:val="22"/>
          <w:szCs w:val="22"/>
        </w:rPr>
        <w:t>.,</w:t>
      </w:r>
      <w:r w:rsidRPr="00EA6837">
        <w:rPr>
          <w:rFonts w:asciiTheme="minorHAnsi" w:hAnsiTheme="minorHAnsi" w:cstheme="minorHAnsi"/>
          <w:sz w:val="22"/>
          <w:szCs w:val="22"/>
        </w:rPr>
        <w:t xml:space="preserve"> 96, pp. 557–569.</w:t>
      </w:r>
    </w:p>
    <w:p w14:paraId="1DDA8162" w14:textId="3E03E3F8" w:rsidR="0057302D" w:rsidRDefault="0057302D" w:rsidP="006A3835">
      <w:pPr>
        <w:numPr>
          <w:ilvl w:val="0"/>
          <w:numId w:val="1"/>
        </w:numPr>
        <w:shd w:val="clear" w:color="auto" w:fill="FFFFFF"/>
        <w:ind w:left="283" w:right="283" w:hanging="284"/>
        <w:jc w:val="both"/>
        <w:textAlignment w:val="top"/>
        <w:rPr>
          <w:rFonts w:asciiTheme="minorHAnsi" w:hAnsiTheme="minorHAnsi" w:cstheme="minorHAnsi"/>
          <w:sz w:val="22"/>
          <w:szCs w:val="22"/>
          <w:lang w:val="en-AU" w:eastAsia="en-AU"/>
        </w:rPr>
      </w:pPr>
      <w:proofErr w:type="spellStart"/>
      <w:r w:rsidRPr="0057302D">
        <w:rPr>
          <w:rFonts w:asciiTheme="minorHAnsi" w:hAnsiTheme="minorHAnsi" w:cstheme="minorHAnsi"/>
          <w:sz w:val="22"/>
          <w:szCs w:val="22"/>
          <w:lang w:val="en-AU" w:eastAsia="en-AU"/>
        </w:rPr>
        <w:t>Noruzi</w:t>
      </w:r>
      <w:proofErr w:type="spellEnd"/>
      <w:r w:rsidRPr="0057302D">
        <w:rPr>
          <w:rFonts w:asciiTheme="minorHAnsi" w:hAnsiTheme="minorHAnsi" w:cstheme="minorHAnsi"/>
          <w:sz w:val="22"/>
          <w:szCs w:val="22"/>
          <w:lang w:val="en-AU" w:eastAsia="en-AU"/>
        </w:rPr>
        <w:t>, M. (2016)</w:t>
      </w:r>
      <w:r w:rsidR="00EA6837">
        <w:rPr>
          <w:rFonts w:asciiTheme="minorHAnsi" w:hAnsiTheme="minorHAnsi" w:cstheme="minorHAnsi"/>
          <w:sz w:val="22"/>
          <w:szCs w:val="22"/>
          <w:lang w:val="en-AU" w:eastAsia="en-AU"/>
        </w:rPr>
        <w:t>.</w:t>
      </w:r>
      <w:r w:rsidRPr="0057302D">
        <w:rPr>
          <w:rFonts w:asciiTheme="minorHAnsi" w:hAnsiTheme="minorHAnsi" w:cstheme="minorHAnsi"/>
          <w:sz w:val="22"/>
          <w:szCs w:val="22"/>
          <w:lang w:val="en-AU" w:eastAsia="en-AU"/>
        </w:rPr>
        <w:t xml:space="preserve"> </w:t>
      </w:r>
      <w:proofErr w:type="spellStart"/>
      <w:r w:rsidRPr="0057302D">
        <w:rPr>
          <w:rFonts w:asciiTheme="minorHAnsi" w:hAnsiTheme="minorHAnsi" w:cstheme="minorHAnsi"/>
          <w:sz w:val="22"/>
          <w:szCs w:val="22"/>
          <w:lang w:val="en-AU" w:eastAsia="en-AU"/>
        </w:rPr>
        <w:t>Electrospun</w:t>
      </w:r>
      <w:proofErr w:type="spellEnd"/>
      <w:r w:rsidRPr="0057302D">
        <w:rPr>
          <w:rFonts w:asciiTheme="minorHAnsi" w:hAnsiTheme="minorHAnsi" w:cstheme="minorHAnsi"/>
          <w:sz w:val="22"/>
          <w:szCs w:val="22"/>
          <w:lang w:val="en-AU" w:eastAsia="en-AU"/>
        </w:rPr>
        <w:t xml:space="preserve"> nanofibers in agriculture and food industry: A review</w:t>
      </w:r>
      <w:r w:rsidR="00EA6837">
        <w:rPr>
          <w:rFonts w:asciiTheme="minorHAnsi" w:hAnsiTheme="minorHAnsi" w:cstheme="minorHAnsi"/>
          <w:sz w:val="22"/>
          <w:szCs w:val="22"/>
          <w:lang w:val="en-AU" w:eastAsia="en-AU"/>
        </w:rPr>
        <w:t xml:space="preserve">. J. </w:t>
      </w:r>
      <w:r w:rsidRPr="0057302D">
        <w:rPr>
          <w:rFonts w:asciiTheme="minorHAnsi" w:hAnsiTheme="minorHAnsi" w:cstheme="minorHAnsi"/>
          <w:sz w:val="22"/>
          <w:szCs w:val="22"/>
          <w:lang w:val="en-AU" w:eastAsia="en-AU"/>
        </w:rPr>
        <w:t>Science of Food and Agriculture</w:t>
      </w:r>
      <w:r w:rsidR="00EA6837">
        <w:rPr>
          <w:rFonts w:asciiTheme="minorHAnsi" w:hAnsiTheme="minorHAnsi" w:cstheme="minorHAnsi"/>
          <w:sz w:val="22"/>
          <w:szCs w:val="22"/>
          <w:lang w:val="en-AU" w:eastAsia="en-AU"/>
        </w:rPr>
        <w:t>.</w:t>
      </w:r>
      <w:r w:rsidRPr="0057302D">
        <w:rPr>
          <w:rFonts w:asciiTheme="minorHAnsi" w:hAnsiTheme="minorHAnsi" w:cstheme="minorHAnsi"/>
          <w:sz w:val="22"/>
          <w:szCs w:val="22"/>
          <w:lang w:val="en-AU" w:eastAsia="en-AU"/>
        </w:rPr>
        <w:t>, 96. 4663–4678.</w:t>
      </w:r>
    </w:p>
    <w:p w14:paraId="364D74F0" w14:textId="77777777" w:rsidR="00EB70A1" w:rsidRPr="0057302D" w:rsidRDefault="00EB70A1" w:rsidP="00EB70A1">
      <w:pPr>
        <w:shd w:val="clear" w:color="auto" w:fill="FFFFFF"/>
        <w:ind w:right="283"/>
        <w:jc w:val="both"/>
        <w:textAlignment w:val="top"/>
        <w:rPr>
          <w:rFonts w:asciiTheme="minorHAnsi" w:hAnsiTheme="minorHAnsi" w:cstheme="minorHAnsi"/>
          <w:sz w:val="22"/>
          <w:szCs w:val="22"/>
          <w:lang w:val="en-AU" w:eastAsia="en-AU"/>
        </w:rPr>
      </w:pPr>
    </w:p>
    <w:sectPr w:rsidR="00EB70A1" w:rsidRPr="0057302D" w:rsidSect="003E4778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1BEE3" w14:textId="77777777" w:rsidR="006000F6" w:rsidRDefault="006000F6" w:rsidP="00EB70A1">
      <w:r>
        <w:separator/>
      </w:r>
    </w:p>
  </w:endnote>
  <w:endnote w:type="continuationSeparator" w:id="0">
    <w:p w14:paraId="367CF4B8" w14:textId="77777777" w:rsidR="006000F6" w:rsidRDefault="006000F6" w:rsidP="00EB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D55B8" w14:textId="77777777" w:rsidR="006000F6" w:rsidRDefault="006000F6" w:rsidP="00EB70A1">
      <w:r>
        <w:separator/>
      </w:r>
    </w:p>
  </w:footnote>
  <w:footnote w:type="continuationSeparator" w:id="0">
    <w:p w14:paraId="23DD11B5" w14:textId="77777777" w:rsidR="006000F6" w:rsidRDefault="006000F6" w:rsidP="00EB7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645AC"/>
    <w:multiLevelType w:val="hybridMultilevel"/>
    <w:tmpl w:val="521093FE"/>
    <w:lvl w:ilvl="0" w:tplc="010A5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4E14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1ED6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0C40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C665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92E4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CC1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07D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09D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6676B"/>
    <w:multiLevelType w:val="hybridMultilevel"/>
    <w:tmpl w:val="78BA025A"/>
    <w:lvl w:ilvl="0" w:tplc="7C7AC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96D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243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3CE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24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2A5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42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0D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A46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4118E"/>
    <w:rsid w:val="00045573"/>
    <w:rsid w:val="000A6D19"/>
    <w:rsid w:val="000D4011"/>
    <w:rsid w:val="000D49EF"/>
    <w:rsid w:val="00113E86"/>
    <w:rsid w:val="001263F3"/>
    <w:rsid w:val="0018270C"/>
    <w:rsid w:val="001A21AD"/>
    <w:rsid w:val="001C5EDE"/>
    <w:rsid w:val="002078AD"/>
    <w:rsid w:val="002226BB"/>
    <w:rsid w:val="00224006"/>
    <w:rsid w:val="00225236"/>
    <w:rsid w:val="002272B0"/>
    <w:rsid w:val="00297CB0"/>
    <w:rsid w:val="00300B92"/>
    <w:rsid w:val="0030585E"/>
    <w:rsid w:val="003307DE"/>
    <w:rsid w:val="00387491"/>
    <w:rsid w:val="00396744"/>
    <w:rsid w:val="003E4778"/>
    <w:rsid w:val="00433B98"/>
    <w:rsid w:val="00447188"/>
    <w:rsid w:val="00483B05"/>
    <w:rsid w:val="004A7C0A"/>
    <w:rsid w:val="004E28B9"/>
    <w:rsid w:val="004E5450"/>
    <w:rsid w:val="004F4A56"/>
    <w:rsid w:val="005226A8"/>
    <w:rsid w:val="0055229D"/>
    <w:rsid w:val="00562D19"/>
    <w:rsid w:val="0056689D"/>
    <w:rsid w:val="0057302D"/>
    <w:rsid w:val="0059609A"/>
    <w:rsid w:val="00597659"/>
    <w:rsid w:val="005B7454"/>
    <w:rsid w:val="005C2129"/>
    <w:rsid w:val="005E48A2"/>
    <w:rsid w:val="005F19FF"/>
    <w:rsid w:val="005F1E71"/>
    <w:rsid w:val="006000F6"/>
    <w:rsid w:val="00641190"/>
    <w:rsid w:val="006448F3"/>
    <w:rsid w:val="006A3835"/>
    <w:rsid w:val="006A70F6"/>
    <w:rsid w:val="006B3866"/>
    <w:rsid w:val="00711813"/>
    <w:rsid w:val="00724E3C"/>
    <w:rsid w:val="00743C46"/>
    <w:rsid w:val="0087591F"/>
    <w:rsid w:val="00886523"/>
    <w:rsid w:val="008909C9"/>
    <w:rsid w:val="008C3FA6"/>
    <w:rsid w:val="0091270D"/>
    <w:rsid w:val="00947B77"/>
    <w:rsid w:val="00997C34"/>
    <w:rsid w:val="009A4CFF"/>
    <w:rsid w:val="009B2641"/>
    <w:rsid w:val="009D5E36"/>
    <w:rsid w:val="009E2228"/>
    <w:rsid w:val="009F06D6"/>
    <w:rsid w:val="00A266B4"/>
    <w:rsid w:val="00B95A1A"/>
    <w:rsid w:val="00BC5FCC"/>
    <w:rsid w:val="00C60A71"/>
    <w:rsid w:val="00CC165A"/>
    <w:rsid w:val="00D55F3B"/>
    <w:rsid w:val="00DA2731"/>
    <w:rsid w:val="00DB4497"/>
    <w:rsid w:val="00DC0ABB"/>
    <w:rsid w:val="00DF1C8E"/>
    <w:rsid w:val="00DF38B8"/>
    <w:rsid w:val="00EA6837"/>
    <w:rsid w:val="00EB70A1"/>
    <w:rsid w:val="00EF12F3"/>
    <w:rsid w:val="00F159A4"/>
    <w:rsid w:val="00F26BB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1C5EDE"/>
    <w:pPr>
      <w:ind w:left="720"/>
      <w:contextualSpacing/>
    </w:pPr>
    <w:rPr>
      <w:lang w:val="en-AU" w:eastAsia="en-AU"/>
    </w:rPr>
  </w:style>
  <w:style w:type="table" w:styleId="TableGrid">
    <w:name w:val="Table Grid"/>
    <w:basedOn w:val="TableNormal"/>
    <w:uiPriority w:val="39"/>
    <w:rsid w:val="00EB70A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70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0A1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70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0A1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8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6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49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020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289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2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6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5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2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'2963 hours'!$G$32</c:f>
              <c:strCache>
                <c:ptCount val="1"/>
                <c:pt idx="0">
                  <c:v>10% urea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'2963 hours'!$F$33:$F$47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14</c:v>
                </c:pt>
                <c:pt idx="4">
                  <c:v>39</c:v>
                </c:pt>
                <c:pt idx="5">
                  <c:v>63</c:v>
                </c:pt>
                <c:pt idx="6">
                  <c:v>87</c:v>
                </c:pt>
                <c:pt idx="7">
                  <c:v>137</c:v>
                </c:pt>
                <c:pt idx="8">
                  <c:v>230.5</c:v>
                </c:pt>
                <c:pt idx="9">
                  <c:v>278.5</c:v>
                </c:pt>
                <c:pt idx="10">
                  <c:v>1570.5</c:v>
                </c:pt>
                <c:pt idx="11">
                  <c:v>1592</c:v>
                </c:pt>
                <c:pt idx="12">
                  <c:v>1735.5</c:v>
                </c:pt>
                <c:pt idx="13">
                  <c:v>2963</c:v>
                </c:pt>
                <c:pt idx="14">
                  <c:v>3000</c:v>
                </c:pt>
              </c:numCache>
            </c:numRef>
          </c:cat>
          <c:val>
            <c:numRef>
              <c:f>'2963 hours'!$G$33:$G$47</c:f>
              <c:numCache>
                <c:formatCode>0.00%</c:formatCode>
                <c:ptCount val="15"/>
                <c:pt idx="0">
                  <c:v>0.27300000000000002</c:v>
                </c:pt>
                <c:pt idx="1">
                  <c:v>0.59099999999999997</c:v>
                </c:pt>
                <c:pt idx="2">
                  <c:v>0.752</c:v>
                </c:pt>
                <c:pt idx="3">
                  <c:v>0.79700000000000004</c:v>
                </c:pt>
                <c:pt idx="4">
                  <c:v>0.84799999999999998</c:v>
                </c:pt>
                <c:pt idx="5">
                  <c:v>0.89</c:v>
                </c:pt>
                <c:pt idx="6">
                  <c:v>0.90600000000000003</c:v>
                </c:pt>
                <c:pt idx="7">
                  <c:v>0.90600000000000003</c:v>
                </c:pt>
                <c:pt idx="8">
                  <c:v>0.91800000000000004</c:v>
                </c:pt>
                <c:pt idx="9">
                  <c:v>0.91800000000000004</c:v>
                </c:pt>
                <c:pt idx="10">
                  <c:v>0.96099999999999997</c:v>
                </c:pt>
                <c:pt idx="11">
                  <c:v>0.96099999999999997</c:v>
                </c:pt>
                <c:pt idx="12">
                  <c:v>0.97199999999999998</c:v>
                </c:pt>
                <c:pt idx="13">
                  <c:v>1</c:v>
                </c:pt>
                <c:pt idx="14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FA2-4691-8712-658CFBB427F7}"/>
            </c:ext>
          </c:extLst>
        </c:ser>
        <c:ser>
          <c:idx val="1"/>
          <c:order val="1"/>
          <c:tx>
            <c:strRef>
              <c:f>'2963 hours'!$H$32</c:f>
              <c:strCache>
                <c:ptCount val="1"/>
                <c:pt idx="0">
                  <c:v>20% urea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'2963 hours'!$F$33:$F$47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14</c:v>
                </c:pt>
                <c:pt idx="4">
                  <c:v>39</c:v>
                </c:pt>
                <c:pt idx="5">
                  <c:v>63</c:v>
                </c:pt>
                <c:pt idx="6">
                  <c:v>87</c:v>
                </c:pt>
                <c:pt idx="7">
                  <c:v>137</c:v>
                </c:pt>
                <c:pt idx="8">
                  <c:v>230.5</c:v>
                </c:pt>
                <c:pt idx="9">
                  <c:v>278.5</c:v>
                </c:pt>
                <c:pt idx="10">
                  <c:v>1570.5</c:v>
                </c:pt>
                <c:pt idx="11">
                  <c:v>1592</c:v>
                </c:pt>
                <c:pt idx="12">
                  <c:v>1735.5</c:v>
                </c:pt>
                <c:pt idx="13">
                  <c:v>2963</c:v>
                </c:pt>
                <c:pt idx="14">
                  <c:v>3000</c:v>
                </c:pt>
              </c:numCache>
            </c:numRef>
          </c:cat>
          <c:val>
            <c:numRef>
              <c:f>'2963 hours'!$H$33:$H$47</c:f>
              <c:numCache>
                <c:formatCode>0.00%</c:formatCode>
                <c:ptCount val="15"/>
                <c:pt idx="0">
                  <c:v>0.62</c:v>
                </c:pt>
                <c:pt idx="1">
                  <c:v>0.70699999999999996</c:v>
                </c:pt>
                <c:pt idx="2">
                  <c:v>0.78300000000000003</c:v>
                </c:pt>
                <c:pt idx="3">
                  <c:v>0.876</c:v>
                </c:pt>
                <c:pt idx="4">
                  <c:v>0.91600000000000004</c:v>
                </c:pt>
                <c:pt idx="5">
                  <c:v>0.93</c:v>
                </c:pt>
                <c:pt idx="6">
                  <c:v>0.93500000000000005</c:v>
                </c:pt>
                <c:pt idx="7">
                  <c:v>0.95</c:v>
                </c:pt>
                <c:pt idx="8">
                  <c:v>0.96</c:v>
                </c:pt>
                <c:pt idx="9">
                  <c:v>0.95899999999999996</c:v>
                </c:pt>
                <c:pt idx="10">
                  <c:v>0.97599999999999998</c:v>
                </c:pt>
                <c:pt idx="11">
                  <c:v>0.97599999999999998</c:v>
                </c:pt>
                <c:pt idx="12">
                  <c:v>0.98199999999999998</c:v>
                </c:pt>
                <c:pt idx="13">
                  <c:v>1</c:v>
                </c:pt>
                <c:pt idx="14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FA2-4691-8712-658CFBB427F7}"/>
            </c:ext>
          </c:extLst>
        </c:ser>
        <c:ser>
          <c:idx val="2"/>
          <c:order val="2"/>
          <c:tx>
            <c:strRef>
              <c:f>'2963 hours'!$I$32</c:f>
              <c:strCache>
                <c:ptCount val="1"/>
                <c:pt idx="0">
                  <c:v>40% urea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'2963 hours'!$F$33:$F$47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14</c:v>
                </c:pt>
                <c:pt idx="4">
                  <c:v>39</c:v>
                </c:pt>
                <c:pt idx="5">
                  <c:v>63</c:v>
                </c:pt>
                <c:pt idx="6">
                  <c:v>87</c:v>
                </c:pt>
                <c:pt idx="7">
                  <c:v>137</c:v>
                </c:pt>
                <c:pt idx="8">
                  <c:v>230.5</c:v>
                </c:pt>
                <c:pt idx="9">
                  <c:v>278.5</c:v>
                </c:pt>
                <c:pt idx="10">
                  <c:v>1570.5</c:v>
                </c:pt>
                <c:pt idx="11">
                  <c:v>1592</c:v>
                </c:pt>
                <c:pt idx="12">
                  <c:v>1735.5</c:v>
                </c:pt>
                <c:pt idx="13">
                  <c:v>2963</c:v>
                </c:pt>
                <c:pt idx="14">
                  <c:v>3000</c:v>
                </c:pt>
              </c:numCache>
            </c:numRef>
          </c:cat>
          <c:val>
            <c:numRef>
              <c:f>'2963 hours'!$I$33:$I$47</c:f>
              <c:numCache>
                <c:formatCode>0.00%</c:formatCode>
                <c:ptCount val="15"/>
                <c:pt idx="0">
                  <c:v>0.78600000000000003</c:v>
                </c:pt>
                <c:pt idx="1">
                  <c:v>0.81599999999999995</c:v>
                </c:pt>
                <c:pt idx="2">
                  <c:v>0.82799999999999996</c:v>
                </c:pt>
                <c:pt idx="3">
                  <c:v>0.85299999999999998</c:v>
                </c:pt>
                <c:pt idx="4">
                  <c:v>0.88900000000000001</c:v>
                </c:pt>
                <c:pt idx="5">
                  <c:v>0.91</c:v>
                </c:pt>
                <c:pt idx="6">
                  <c:v>0.91200000000000003</c:v>
                </c:pt>
                <c:pt idx="7">
                  <c:v>0.91400000000000003</c:v>
                </c:pt>
                <c:pt idx="8">
                  <c:v>0.92500000000000004</c:v>
                </c:pt>
                <c:pt idx="9">
                  <c:v>0.92800000000000005</c:v>
                </c:pt>
                <c:pt idx="10">
                  <c:v>0.95799999999999996</c:v>
                </c:pt>
                <c:pt idx="11">
                  <c:v>0.96199999999999997</c:v>
                </c:pt>
                <c:pt idx="12">
                  <c:v>0.96699999999999997</c:v>
                </c:pt>
                <c:pt idx="13">
                  <c:v>1</c:v>
                </c:pt>
                <c:pt idx="14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FA2-4691-8712-658CFBB427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86593136"/>
        <c:axId val="386593920"/>
      </c:lineChart>
      <c:catAx>
        <c:axId val="3865931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 baseline="0"/>
                  <a:t>Time (hour)</a:t>
                </a:r>
              </a:p>
            </c:rich>
          </c:tx>
          <c:layout>
            <c:manualLayout>
              <c:xMode val="edge"/>
              <c:yMode val="edge"/>
              <c:x val="0.35395899836844713"/>
              <c:y val="0.7915125315217950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6593920"/>
        <c:crosses val="autoZero"/>
        <c:auto val="1"/>
        <c:lblAlgn val="ctr"/>
        <c:lblOffset val="100"/>
        <c:noMultiLvlLbl val="0"/>
      </c:catAx>
      <c:valAx>
        <c:axId val="386593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 baseline="0"/>
                  <a:t>Cumulative Nitrogen Release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%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6593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6.1061959951635256E-2"/>
          <c:y val="0.90373502225265323"/>
          <c:w val="0.81026809148856394"/>
          <c:h val="9.626497774734679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2E260979-B03D-441E-BBF3-17B6B126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3534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Leila Javazmi</cp:lastModifiedBy>
  <cp:revision>2</cp:revision>
  <cp:lastPrinted>2013-06-13T05:15:00Z</cp:lastPrinted>
  <dcterms:created xsi:type="dcterms:W3CDTF">2019-09-02T13:56:00Z</dcterms:created>
  <dcterms:modified xsi:type="dcterms:W3CDTF">2019-09-02T13:56:00Z</dcterms:modified>
</cp:coreProperties>
</file>