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7EFD8" w14:textId="77777777" w:rsidR="009D7CB9" w:rsidRDefault="00971A2C" w:rsidP="009D7CB9">
      <w:pPr>
        <w:spacing w:after="0" w:line="240" w:lineRule="auto"/>
        <w:outlineLvl w:val="0"/>
        <w:rPr>
          <w:rFonts w:ascii="Calibri" w:eastAsia="Times New Roman" w:hAnsi="Calibri" w:cs="Calibri"/>
          <w:b/>
          <w:bCs/>
          <w:kern w:val="36"/>
          <w:sz w:val="20"/>
          <w:szCs w:val="20"/>
          <w14:ligatures w14:val="none"/>
        </w:rPr>
      </w:pPr>
      <w:r w:rsidRPr="009D7CB9">
        <w:rPr>
          <w:rFonts w:ascii="Calibri" w:eastAsia="Times New Roman" w:hAnsi="Calibri" w:cs="Calibri"/>
          <w:b/>
          <w:bCs/>
          <w:kern w:val="36"/>
          <w:sz w:val="20"/>
          <w:szCs w:val="20"/>
          <w14:ligatures w14:val="none"/>
        </w:rPr>
        <w:t xml:space="preserve">Determinants of Medication Safety </w:t>
      </w:r>
      <w:proofErr w:type="spellStart"/>
      <w:r w:rsidRPr="009D7CB9">
        <w:rPr>
          <w:rFonts w:ascii="Calibri" w:eastAsia="Times New Roman" w:hAnsi="Calibri" w:cs="Calibri"/>
          <w:b/>
          <w:bCs/>
          <w:kern w:val="36"/>
          <w:sz w:val="20"/>
          <w:szCs w:val="20"/>
          <w14:ligatures w14:val="none"/>
        </w:rPr>
        <w:t>Behavior</w:t>
      </w:r>
      <w:proofErr w:type="spellEnd"/>
      <w:r w:rsidRPr="009D7CB9">
        <w:rPr>
          <w:rFonts w:ascii="Calibri" w:eastAsia="Times New Roman" w:hAnsi="Calibri" w:cs="Calibri"/>
          <w:b/>
          <w:bCs/>
          <w:kern w:val="36"/>
          <w:sz w:val="20"/>
          <w:szCs w:val="20"/>
          <w14:ligatures w14:val="none"/>
        </w:rPr>
        <w:t xml:space="preserve"> among Older Adults: Insights from a Knowledge, Attitude, and Practice (KAP) Study </w:t>
      </w:r>
    </w:p>
    <w:p w14:paraId="08538BC2" w14:textId="0AF4E859" w:rsidR="009D7CB9" w:rsidRPr="009D7BE7" w:rsidRDefault="00B70FEA" w:rsidP="009D7CB9">
      <w:pPr>
        <w:spacing w:after="0" w:line="240" w:lineRule="auto"/>
        <w:outlineLvl w:val="0"/>
        <w:rPr>
          <w:rFonts w:ascii="Calibri" w:eastAsia="Times New Roman" w:hAnsi="Calibri" w:cs="Calibri"/>
          <w:kern w:val="0"/>
          <w:sz w:val="20"/>
          <w:szCs w:val="20"/>
          <w:vertAlign w:val="superscript"/>
          <w14:ligatures w14:val="none"/>
        </w:rPr>
      </w:pPr>
      <w:r w:rsidRPr="009D7CB9">
        <w:rPr>
          <w:rFonts w:ascii="Calibri" w:eastAsia="Times New Roman" w:hAnsi="Calibri" w:cs="Calibri"/>
          <w:kern w:val="0"/>
          <w:sz w:val="20"/>
          <w:szCs w:val="20"/>
          <w14:ligatures w14:val="none"/>
        </w:rPr>
        <w:t>Gestina Aliska¹</w:t>
      </w:r>
      <w:r w:rsidR="009D7BE7" w:rsidRPr="009D7BE7">
        <w:rPr>
          <w:rFonts w:ascii="Calibri" w:eastAsia="Times New Roman" w:hAnsi="Calibri" w:cs="Calibri"/>
          <w:kern w:val="0"/>
          <w:sz w:val="20"/>
          <w:szCs w:val="20"/>
          <w:vertAlign w:val="superscript"/>
          <w14:ligatures w14:val="none"/>
        </w:rPr>
        <w:t>-3</w:t>
      </w:r>
      <w:r w:rsidRPr="009D7CB9">
        <w:rPr>
          <w:rFonts w:ascii="Calibri" w:eastAsia="Times New Roman" w:hAnsi="Calibri" w:cs="Calibri"/>
          <w:kern w:val="0"/>
          <w:sz w:val="20"/>
          <w:szCs w:val="20"/>
          <w14:ligatures w14:val="none"/>
        </w:rPr>
        <w:t xml:space="preserve">, </w:t>
      </w:r>
      <w:r w:rsidR="00CD095E" w:rsidRPr="009D7CB9">
        <w:rPr>
          <w:rFonts w:ascii="Calibri" w:eastAsia="Times New Roman" w:hAnsi="Calibri" w:cs="Calibri"/>
          <w:kern w:val="0"/>
          <w:sz w:val="20"/>
          <w:szCs w:val="20"/>
          <w14:ligatures w14:val="none"/>
        </w:rPr>
        <w:t xml:space="preserve">Didan </w:t>
      </w:r>
      <w:proofErr w:type="spellStart"/>
      <w:r w:rsidR="00A2296F" w:rsidRPr="009D7CB9">
        <w:rPr>
          <w:rFonts w:ascii="Calibri" w:eastAsia="Times New Roman" w:hAnsi="Calibri" w:cs="Calibri"/>
          <w:kern w:val="0"/>
          <w:sz w:val="20"/>
          <w:szCs w:val="20"/>
          <w14:ligatures w14:val="none"/>
        </w:rPr>
        <w:t>Ariadapa</w:t>
      </w:r>
      <w:proofErr w:type="spellEnd"/>
      <w:r w:rsidR="00A2296F" w:rsidRPr="009D7CB9">
        <w:rPr>
          <w:rFonts w:ascii="Calibri" w:eastAsia="Times New Roman" w:hAnsi="Calibri" w:cs="Calibri"/>
          <w:kern w:val="0"/>
          <w:sz w:val="20"/>
          <w:szCs w:val="20"/>
          <w14:ligatures w14:val="none"/>
        </w:rPr>
        <w:t xml:space="preserve"> Rahadi</w:t>
      </w:r>
      <w:r w:rsidR="009D7BE7" w:rsidRPr="009D7BE7">
        <w:rPr>
          <w:rFonts w:ascii="Calibri" w:eastAsia="Times New Roman" w:hAnsi="Calibri" w:cs="Calibri"/>
          <w:kern w:val="0"/>
          <w:sz w:val="20"/>
          <w:szCs w:val="20"/>
          <w:vertAlign w:val="superscript"/>
          <w14:ligatures w14:val="none"/>
        </w:rPr>
        <w:t>4</w:t>
      </w:r>
      <w:r w:rsidRPr="009D7CB9">
        <w:rPr>
          <w:rFonts w:ascii="Calibri" w:eastAsia="Times New Roman" w:hAnsi="Calibri" w:cs="Calibri"/>
          <w:kern w:val="0"/>
          <w:sz w:val="20"/>
          <w:szCs w:val="20"/>
          <w14:ligatures w14:val="none"/>
        </w:rPr>
        <w:t xml:space="preserve">, </w:t>
      </w:r>
      <w:r w:rsidR="00CD095E" w:rsidRPr="009D7CB9">
        <w:rPr>
          <w:rFonts w:ascii="Calibri" w:eastAsia="Times New Roman" w:hAnsi="Calibri" w:cs="Calibri"/>
          <w:kern w:val="0"/>
          <w:sz w:val="20"/>
          <w:szCs w:val="20"/>
          <w14:ligatures w14:val="none"/>
        </w:rPr>
        <w:t>Tri Widyawati</w:t>
      </w:r>
      <w:r w:rsidR="009D7BE7" w:rsidRPr="009D7BE7">
        <w:rPr>
          <w:rFonts w:ascii="Calibri" w:eastAsia="Times New Roman" w:hAnsi="Calibri" w:cs="Calibri"/>
          <w:kern w:val="0"/>
          <w:sz w:val="20"/>
          <w:szCs w:val="20"/>
          <w:vertAlign w:val="superscript"/>
          <w14:ligatures w14:val="none"/>
        </w:rPr>
        <w:t>5</w:t>
      </w:r>
      <w:r w:rsidR="009D7BE7">
        <w:rPr>
          <w:rFonts w:ascii="Calibri" w:eastAsia="Times New Roman" w:hAnsi="Calibri" w:cs="Calibri"/>
          <w:kern w:val="0"/>
          <w:sz w:val="20"/>
          <w:szCs w:val="20"/>
          <w14:ligatures w14:val="none"/>
        </w:rPr>
        <w:t xml:space="preserve">, </w:t>
      </w:r>
      <w:proofErr w:type="spellStart"/>
      <w:r w:rsidR="00E35899">
        <w:rPr>
          <w:rFonts w:ascii="Calibri" w:eastAsia="Times New Roman" w:hAnsi="Calibri" w:cs="Calibri"/>
          <w:kern w:val="0"/>
          <w:sz w:val="20"/>
          <w:szCs w:val="20"/>
          <w14:ligatures w14:val="none"/>
        </w:rPr>
        <w:t>Cimi</w:t>
      </w:r>
      <w:proofErr w:type="spellEnd"/>
      <w:r w:rsidR="00E35899">
        <w:rPr>
          <w:rFonts w:ascii="Calibri" w:eastAsia="Times New Roman" w:hAnsi="Calibri" w:cs="Calibri"/>
          <w:kern w:val="0"/>
          <w:sz w:val="20"/>
          <w:szCs w:val="20"/>
          <w14:ligatures w14:val="none"/>
        </w:rPr>
        <w:t xml:space="preserve"> </w:t>
      </w:r>
      <w:r w:rsidR="009D7BE7">
        <w:rPr>
          <w:rFonts w:ascii="Calibri" w:eastAsia="Times New Roman" w:hAnsi="Calibri" w:cs="Calibri"/>
          <w:kern w:val="0"/>
          <w:sz w:val="20"/>
          <w:szCs w:val="20"/>
          <w14:ligatures w14:val="none"/>
        </w:rPr>
        <w:t>Ilmiawati</w:t>
      </w:r>
      <w:r w:rsidR="009D7BE7" w:rsidRPr="009D7CB9">
        <w:rPr>
          <w:rFonts w:ascii="Calibri" w:eastAsia="Times New Roman" w:hAnsi="Calibri" w:cs="Calibri"/>
          <w:kern w:val="0"/>
          <w:sz w:val="20"/>
          <w:szCs w:val="20"/>
          <w14:ligatures w14:val="none"/>
        </w:rPr>
        <w:t>¹</w:t>
      </w:r>
    </w:p>
    <w:p w14:paraId="4FA0EA26" w14:textId="6AFDCB7A" w:rsidR="00B70FEA" w:rsidRDefault="00B70FEA" w:rsidP="009D7BE7">
      <w:pPr>
        <w:spacing w:after="0" w:line="240" w:lineRule="auto"/>
        <w:jc w:val="both"/>
        <w:outlineLvl w:val="0"/>
        <w:rPr>
          <w:rFonts w:ascii="Calibri" w:eastAsia="Times New Roman" w:hAnsi="Calibri" w:cs="Calibri"/>
          <w:kern w:val="0"/>
          <w:sz w:val="20"/>
          <w:szCs w:val="20"/>
          <w14:ligatures w14:val="none"/>
        </w:rPr>
      </w:pPr>
      <w:r w:rsidRPr="009D7CB9">
        <w:rPr>
          <w:rFonts w:ascii="Calibri" w:eastAsia="Times New Roman" w:hAnsi="Calibri" w:cs="Calibri"/>
          <w:kern w:val="0"/>
          <w:sz w:val="20"/>
          <w:szCs w:val="20"/>
          <w14:ligatures w14:val="none"/>
        </w:rPr>
        <w:br/>
      </w:r>
      <w:r w:rsidR="009D7BE7" w:rsidRPr="009D7BE7">
        <w:rPr>
          <w:rFonts w:ascii="Calibri" w:eastAsia="Times New Roman" w:hAnsi="Calibri" w:cs="Calibri"/>
          <w:kern w:val="0"/>
          <w:sz w:val="20"/>
          <w:szCs w:val="20"/>
          <w:vertAlign w:val="superscript"/>
          <w14:ligatures w14:val="none"/>
        </w:rPr>
        <w:t>1</w:t>
      </w:r>
      <w:r w:rsidR="009D7BE7" w:rsidRPr="009D7BE7">
        <w:rPr>
          <w:rFonts w:ascii="Calibri" w:eastAsia="Times New Roman" w:hAnsi="Calibri" w:cs="Calibri"/>
          <w:kern w:val="0"/>
          <w:sz w:val="20"/>
          <w:szCs w:val="20"/>
          <w14:ligatures w14:val="none"/>
        </w:rPr>
        <w:t xml:space="preserve">Department of Pharmacology and Therapeutics, Faculty of Medicine, Universitas Andalas, Padang, Indonesia; </w:t>
      </w:r>
      <w:r w:rsidR="009D7BE7" w:rsidRPr="009D7BE7">
        <w:rPr>
          <w:rFonts w:ascii="Calibri" w:eastAsia="Times New Roman" w:hAnsi="Calibri" w:cs="Calibri"/>
          <w:kern w:val="0"/>
          <w:sz w:val="20"/>
          <w:szCs w:val="20"/>
          <w:vertAlign w:val="superscript"/>
          <w14:ligatures w14:val="none"/>
        </w:rPr>
        <w:t>2</w:t>
      </w:r>
      <w:r w:rsidR="009D7BE7" w:rsidRPr="009D7BE7">
        <w:rPr>
          <w:rFonts w:ascii="Calibri" w:eastAsia="Times New Roman" w:hAnsi="Calibri" w:cs="Calibri"/>
          <w:kern w:val="0"/>
          <w:sz w:val="20"/>
          <w:szCs w:val="20"/>
          <w14:ligatures w14:val="none"/>
        </w:rPr>
        <w:t xml:space="preserve">Centre for Diagnostic and Research on Infectious Disease (PDRPI), Faculty of Medicine, Universitas Andalas, Padang, Indonesia; </w:t>
      </w:r>
      <w:r w:rsidR="009D7BE7" w:rsidRPr="009D7BE7">
        <w:rPr>
          <w:rFonts w:ascii="Calibri" w:eastAsia="Times New Roman" w:hAnsi="Calibri" w:cs="Calibri"/>
          <w:kern w:val="0"/>
          <w:sz w:val="20"/>
          <w:szCs w:val="20"/>
          <w:vertAlign w:val="superscript"/>
          <w14:ligatures w14:val="none"/>
        </w:rPr>
        <w:t>3</w:t>
      </w:r>
      <w:r w:rsidR="009D7BE7" w:rsidRPr="009D7BE7">
        <w:rPr>
          <w:rFonts w:ascii="Calibri" w:eastAsia="Times New Roman" w:hAnsi="Calibri" w:cs="Calibri"/>
          <w:kern w:val="0"/>
          <w:sz w:val="20"/>
          <w:szCs w:val="20"/>
          <w14:ligatures w14:val="none"/>
        </w:rPr>
        <w:t xml:space="preserve">Department of Clinical Pharmacology, M </w:t>
      </w:r>
      <w:proofErr w:type="spellStart"/>
      <w:r w:rsidR="009D7BE7" w:rsidRPr="009D7BE7">
        <w:rPr>
          <w:rFonts w:ascii="Calibri" w:eastAsia="Times New Roman" w:hAnsi="Calibri" w:cs="Calibri"/>
          <w:kern w:val="0"/>
          <w:sz w:val="20"/>
          <w:szCs w:val="20"/>
          <w14:ligatures w14:val="none"/>
        </w:rPr>
        <w:t>Djamil</w:t>
      </w:r>
      <w:proofErr w:type="spellEnd"/>
      <w:r w:rsidR="009D7BE7" w:rsidRPr="009D7BE7">
        <w:rPr>
          <w:rFonts w:ascii="Calibri" w:eastAsia="Times New Roman" w:hAnsi="Calibri" w:cs="Calibri"/>
          <w:kern w:val="0"/>
          <w:sz w:val="20"/>
          <w:szCs w:val="20"/>
          <w14:ligatures w14:val="none"/>
        </w:rPr>
        <w:t xml:space="preserve"> General Hospital, Padang, Indonesia; </w:t>
      </w:r>
      <w:r w:rsidR="009D7BE7" w:rsidRPr="009D7BE7">
        <w:rPr>
          <w:rFonts w:ascii="Calibri" w:eastAsia="Times New Roman" w:hAnsi="Calibri" w:cs="Calibri"/>
          <w:kern w:val="0"/>
          <w:sz w:val="20"/>
          <w:szCs w:val="20"/>
          <w:vertAlign w:val="superscript"/>
          <w14:ligatures w14:val="none"/>
        </w:rPr>
        <w:t>4</w:t>
      </w:r>
      <w:r w:rsidR="00CD095E" w:rsidRPr="009D7CB9">
        <w:rPr>
          <w:rFonts w:ascii="Calibri" w:eastAsia="Times New Roman" w:hAnsi="Calibri" w:cs="Calibri"/>
          <w:kern w:val="0"/>
          <w:sz w:val="20"/>
          <w:szCs w:val="20"/>
          <w14:ligatures w14:val="none"/>
        </w:rPr>
        <w:t>Magister Biome</w:t>
      </w:r>
      <w:r w:rsidR="00971A2C" w:rsidRPr="009D7CB9">
        <w:rPr>
          <w:rFonts w:ascii="Calibri" w:eastAsia="Times New Roman" w:hAnsi="Calibri" w:cs="Calibri"/>
          <w:kern w:val="0"/>
          <w:sz w:val="20"/>
          <w:szCs w:val="20"/>
          <w14:ligatures w14:val="none"/>
        </w:rPr>
        <w:t xml:space="preserve">dical </w:t>
      </w:r>
      <w:r w:rsidR="00CD095E" w:rsidRPr="009D7CB9">
        <w:rPr>
          <w:rFonts w:ascii="Calibri" w:eastAsia="Times New Roman" w:hAnsi="Calibri" w:cs="Calibri"/>
          <w:kern w:val="0"/>
          <w:sz w:val="20"/>
          <w:szCs w:val="20"/>
          <w14:ligatures w14:val="none"/>
        </w:rPr>
        <w:t>Program</w:t>
      </w:r>
      <w:r w:rsidRPr="009D7CB9">
        <w:rPr>
          <w:rFonts w:ascii="Calibri" w:eastAsia="Times New Roman" w:hAnsi="Calibri" w:cs="Calibri"/>
          <w:kern w:val="0"/>
          <w:sz w:val="20"/>
          <w:szCs w:val="20"/>
          <w14:ligatures w14:val="none"/>
        </w:rPr>
        <w:t>, Faculty of Medicine, Universitas Andalas, Padang, Indonesia</w:t>
      </w:r>
      <w:r w:rsidR="009D7CB9">
        <w:rPr>
          <w:rFonts w:ascii="Calibri" w:eastAsia="Times New Roman" w:hAnsi="Calibri" w:cs="Calibri"/>
          <w:kern w:val="0"/>
          <w:sz w:val="20"/>
          <w:szCs w:val="20"/>
          <w14:ligatures w14:val="none"/>
        </w:rPr>
        <w:t xml:space="preserve">, </w:t>
      </w:r>
      <w:r w:rsidR="009D7BE7" w:rsidRPr="009D7BE7">
        <w:rPr>
          <w:rFonts w:ascii="Calibri" w:eastAsia="Times New Roman" w:hAnsi="Calibri" w:cs="Calibri"/>
          <w:kern w:val="0"/>
          <w:sz w:val="20"/>
          <w:szCs w:val="20"/>
          <w:vertAlign w:val="superscript"/>
          <w14:ligatures w14:val="none"/>
        </w:rPr>
        <w:t>5</w:t>
      </w:r>
      <w:r w:rsidRPr="009D7CB9">
        <w:rPr>
          <w:rFonts w:ascii="Calibri" w:eastAsia="Times New Roman" w:hAnsi="Calibri" w:cs="Calibri"/>
          <w:kern w:val="0"/>
          <w:sz w:val="20"/>
          <w:szCs w:val="20"/>
          <w14:ligatures w14:val="none"/>
        </w:rPr>
        <w:t xml:space="preserve">Department of </w:t>
      </w:r>
      <w:r w:rsidR="00CD095E" w:rsidRPr="009D7CB9">
        <w:rPr>
          <w:rFonts w:ascii="Calibri" w:eastAsia="Times New Roman" w:hAnsi="Calibri" w:cs="Calibri"/>
          <w:kern w:val="0"/>
          <w:sz w:val="20"/>
          <w:szCs w:val="20"/>
          <w14:ligatures w14:val="none"/>
        </w:rPr>
        <w:t>Pharmacology</w:t>
      </w:r>
      <w:r w:rsidRPr="009D7CB9">
        <w:rPr>
          <w:rFonts w:ascii="Calibri" w:eastAsia="Times New Roman" w:hAnsi="Calibri" w:cs="Calibri"/>
          <w:kern w:val="0"/>
          <w:sz w:val="20"/>
          <w:szCs w:val="20"/>
          <w14:ligatures w14:val="none"/>
        </w:rPr>
        <w:t xml:space="preserve">, Faculty of Medicine, Universitas </w:t>
      </w:r>
      <w:r w:rsidR="00CD095E" w:rsidRPr="009D7CB9">
        <w:rPr>
          <w:rFonts w:ascii="Calibri" w:eastAsia="Times New Roman" w:hAnsi="Calibri" w:cs="Calibri"/>
          <w:kern w:val="0"/>
          <w:sz w:val="20"/>
          <w:szCs w:val="20"/>
          <w14:ligatures w14:val="none"/>
        </w:rPr>
        <w:t>Sumatera Utara</w:t>
      </w:r>
      <w:r w:rsidRPr="009D7CB9">
        <w:rPr>
          <w:rFonts w:ascii="Calibri" w:eastAsia="Times New Roman" w:hAnsi="Calibri" w:cs="Calibri"/>
          <w:kern w:val="0"/>
          <w:sz w:val="20"/>
          <w:szCs w:val="20"/>
          <w14:ligatures w14:val="none"/>
        </w:rPr>
        <w:t xml:space="preserve">, </w:t>
      </w:r>
      <w:r w:rsidR="00CD095E" w:rsidRPr="009D7CB9">
        <w:rPr>
          <w:rFonts w:ascii="Calibri" w:eastAsia="Times New Roman" w:hAnsi="Calibri" w:cs="Calibri"/>
          <w:kern w:val="0"/>
          <w:sz w:val="20"/>
          <w:szCs w:val="20"/>
          <w14:ligatures w14:val="none"/>
        </w:rPr>
        <w:t>Medan</w:t>
      </w:r>
      <w:r w:rsidRPr="009D7CB9">
        <w:rPr>
          <w:rFonts w:ascii="Calibri" w:eastAsia="Times New Roman" w:hAnsi="Calibri" w:cs="Calibri"/>
          <w:kern w:val="0"/>
          <w:sz w:val="20"/>
          <w:szCs w:val="20"/>
          <w14:ligatures w14:val="none"/>
        </w:rPr>
        <w:t>, Indonesia</w:t>
      </w:r>
      <w:r w:rsidR="009D7BE7">
        <w:rPr>
          <w:rFonts w:ascii="Calibri" w:eastAsia="Times New Roman" w:hAnsi="Calibri" w:cs="Calibri"/>
          <w:kern w:val="0"/>
          <w:sz w:val="20"/>
          <w:szCs w:val="20"/>
          <w14:ligatures w14:val="none"/>
        </w:rPr>
        <w:t>.</w:t>
      </w:r>
    </w:p>
    <w:p w14:paraId="2C4CE287" w14:textId="77777777" w:rsidR="009D7CB9" w:rsidRPr="009D7CB9" w:rsidRDefault="009D7CB9" w:rsidP="009D7CB9">
      <w:pPr>
        <w:spacing w:after="0" w:line="240" w:lineRule="auto"/>
        <w:outlineLvl w:val="0"/>
        <w:rPr>
          <w:rFonts w:ascii="Calibri" w:eastAsia="Times New Roman" w:hAnsi="Calibri" w:cs="Calibri"/>
          <w:b/>
          <w:bCs/>
          <w:kern w:val="36"/>
          <w:sz w:val="20"/>
          <w:szCs w:val="20"/>
          <w14:ligatures w14:val="none"/>
        </w:rPr>
      </w:pPr>
    </w:p>
    <w:p w14:paraId="6B43A5B2" w14:textId="77777777" w:rsidR="00B70FEA" w:rsidRPr="009D7CB9" w:rsidRDefault="00B70FEA" w:rsidP="009D7CB9">
      <w:pPr>
        <w:spacing w:after="0" w:line="240" w:lineRule="auto"/>
        <w:jc w:val="both"/>
        <w:rPr>
          <w:rFonts w:ascii="Calibri" w:eastAsia="Times New Roman" w:hAnsi="Calibri" w:cs="Calibri"/>
          <w:kern w:val="0"/>
          <w:sz w:val="20"/>
          <w:szCs w:val="20"/>
          <w14:ligatures w14:val="none"/>
        </w:rPr>
      </w:pPr>
      <w:r w:rsidRPr="009D7CB9">
        <w:rPr>
          <w:rFonts w:ascii="Calibri" w:eastAsia="Times New Roman" w:hAnsi="Calibri" w:cs="Calibri"/>
          <w:b/>
          <w:bCs/>
          <w:kern w:val="0"/>
          <w:sz w:val="20"/>
          <w:szCs w:val="20"/>
          <w14:ligatures w14:val="none"/>
        </w:rPr>
        <w:t>Introduction.</w:t>
      </w:r>
      <w:r w:rsidRPr="009D7CB9">
        <w:rPr>
          <w:rFonts w:ascii="Calibri" w:eastAsia="Times New Roman" w:hAnsi="Calibri" w:cs="Calibri"/>
          <w:kern w:val="0"/>
          <w:sz w:val="20"/>
          <w:szCs w:val="20"/>
          <w14:ligatures w14:val="none"/>
        </w:rPr>
        <w:t xml:space="preserve"> Older adults are particularly vulnerable to medication-related problems due to polypharmacy, physiological decline, and limited health literacy. Understanding their knowledge, attitudes, and practices (KAP) is essential to inform community-based interventions.</w:t>
      </w:r>
    </w:p>
    <w:p w14:paraId="1D387B1A" w14:textId="77777777" w:rsidR="00B70FEA" w:rsidRPr="00457ED2" w:rsidRDefault="00B70FEA" w:rsidP="009D7CB9">
      <w:pPr>
        <w:spacing w:after="0" w:line="240" w:lineRule="auto"/>
        <w:jc w:val="both"/>
        <w:rPr>
          <w:rFonts w:ascii="Calibri" w:eastAsia="Times New Roman" w:hAnsi="Calibri" w:cs="Calibri"/>
          <w:kern w:val="0"/>
          <w:sz w:val="20"/>
          <w:szCs w:val="20"/>
          <w14:ligatures w14:val="none"/>
        </w:rPr>
      </w:pPr>
      <w:r w:rsidRPr="00457ED2">
        <w:rPr>
          <w:rFonts w:ascii="Calibri" w:eastAsia="Times New Roman" w:hAnsi="Calibri" w:cs="Calibri"/>
          <w:b/>
          <w:bCs/>
          <w:kern w:val="0"/>
          <w:sz w:val="20"/>
          <w:szCs w:val="20"/>
          <w14:ligatures w14:val="none"/>
        </w:rPr>
        <w:t>Aims.</w:t>
      </w:r>
      <w:r w:rsidRPr="00457ED2">
        <w:rPr>
          <w:rFonts w:ascii="Calibri" w:eastAsia="Times New Roman" w:hAnsi="Calibri" w:cs="Calibri"/>
          <w:kern w:val="0"/>
          <w:sz w:val="20"/>
          <w:szCs w:val="20"/>
          <w14:ligatures w14:val="none"/>
        </w:rPr>
        <w:t xml:space="preserve"> To describe KAP regarding medication safety and examine whether age, education, and medication use are associated with safer practices among older adults.</w:t>
      </w:r>
    </w:p>
    <w:p w14:paraId="1AD75B68" w14:textId="4BA13CE9" w:rsidR="00B70FEA" w:rsidRPr="00457ED2" w:rsidRDefault="00B70FEA" w:rsidP="009D7CB9">
      <w:pPr>
        <w:spacing w:after="0" w:line="240" w:lineRule="auto"/>
        <w:jc w:val="both"/>
        <w:rPr>
          <w:rFonts w:asciiTheme="majorHAnsi" w:eastAsia="Times New Roman" w:hAnsiTheme="majorHAnsi" w:cs="Calibri"/>
          <w:kern w:val="0"/>
          <w:sz w:val="20"/>
          <w:szCs w:val="20"/>
          <w14:ligatures w14:val="none"/>
        </w:rPr>
      </w:pPr>
      <w:r w:rsidRPr="00457ED2">
        <w:rPr>
          <w:rFonts w:asciiTheme="majorHAnsi" w:eastAsia="Times New Roman" w:hAnsiTheme="majorHAnsi" w:cs="Calibri"/>
          <w:b/>
          <w:bCs/>
          <w:kern w:val="0"/>
          <w:sz w:val="20"/>
          <w:szCs w:val="20"/>
          <w14:ligatures w14:val="none"/>
        </w:rPr>
        <w:t>Methods.</w:t>
      </w:r>
      <w:r w:rsidRPr="00457ED2">
        <w:rPr>
          <w:rFonts w:asciiTheme="majorHAnsi" w:eastAsia="Times New Roman" w:hAnsiTheme="majorHAnsi" w:cs="Calibri"/>
          <w:kern w:val="0"/>
          <w:sz w:val="20"/>
          <w:szCs w:val="20"/>
          <w14:ligatures w14:val="none"/>
        </w:rPr>
        <w:t xml:space="preserve"> A cross-sectional survey was conducted among 31 older adults in</w:t>
      </w:r>
      <w:r w:rsidR="00971A2C" w:rsidRPr="00457ED2">
        <w:rPr>
          <w:rFonts w:asciiTheme="majorHAnsi" w:eastAsia="Times New Roman" w:hAnsiTheme="majorHAnsi" w:cs="Calibri"/>
          <w:kern w:val="0"/>
          <w:sz w:val="20"/>
          <w:szCs w:val="20"/>
          <w14:ligatures w14:val="none"/>
        </w:rPr>
        <w:t xml:space="preserve"> a district in</w:t>
      </w:r>
      <w:r w:rsidRPr="00457ED2">
        <w:rPr>
          <w:rFonts w:asciiTheme="majorHAnsi" w:eastAsia="Times New Roman" w:hAnsiTheme="majorHAnsi" w:cs="Calibri"/>
          <w:kern w:val="0"/>
          <w:sz w:val="20"/>
          <w:szCs w:val="20"/>
          <w14:ligatures w14:val="none"/>
        </w:rPr>
        <w:t xml:space="preserve"> Padang, Indonesia. A structured KAP questionnaire was used. KAP scores were calculated, with the median value as </w:t>
      </w:r>
      <w:r w:rsidR="00D10EFD" w:rsidRPr="00457ED2">
        <w:rPr>
          <w:rFonts w:asciiTheme="majorHAnsi" w:eastAsia="Times New Roman" w:hAnsiTheme="majorHAnsi" w:cs="Calibri"/>
          <w:kern w:val="0"/>
          <w:sz w:val="20"/>
          <w:szCs w:val="20"/>
          <w14:ligatures w14:val="none"/>
        </w:rPr>
        <w:t xml:space="preserve">a </w:t>
      </w:r>
      <w:r w:rsidRPr="00457ED2">
        <w:rPr>
          <w:rFonts w:asciiTheme="majorHAnsi" w:eastAsia="Times New Roman" w:hAnsiTheme="majorHAnsi" w:cs="Calibri"/>
          <w:kern w:val="0"/>
          <w:sz w:val="20"/>
          <w:szCs w:val="20"/>
          <w14:ligatures w14:val="none"/>
        </w:rPr>
        <w:t xml:space="preserve">cut-off for good versus poor KAP. Associations between education and KAP were assessed using Chi-square, while correlations between </w:t>
      </w:r>
      <w:r w:rsidR="00D10EFD" w:rsidRPr="00457ED2">
        <w:rPr>
          <w:rFonts w:asciiTheme="majorHAnsi" w:eastAsia="Times New Roman" w:hAnsiTheme="majorHAnsi" w:cs="Calibri"/>
          <w:kern w:val="0"/>
          <w:sz w:val="20"/>
          <w:szCs w:val="20"/>
          <w14:ligatures w14:val="none"/>
        </w:rPr>
        <w:t xml:space="preserve">the </w:t>
      </w:r>
      <w:r w:rsidRPr="00457ED2">
        <w:rPr>
          <w:rFonts w:asciiTheme="majorHAnsi" w:eastAsia="Times New Roman" w:hAnsiTheme="majorHAnsi" w:cs="Calibri"/>
          <w:kern w:val="0"/>
          <w:sz w:val="20"/>
          <w:szCs w:val="20"/>
          <w14:ligatures w14:val="none"/>
        </w:rPr>
        <w:t>number of medications, knowledge, and practice were tested using Spearman’s correlation.</w:t>
      </w:r>
    </w:p>
    <w:p w14:paraId="52DA58C8" w14:textId="77777777" w:rsidR="00B70FEA" w:rsidRPr="00457ED2" w:rsidRDefault="00B70FEA" w:rsidP="009D7CB9">
      <w:pPr>
        <w:spacing w:after="0" w:line="240" w:lineRule="auto"/>
        <w:jc w:val="both"/>
        <w:rPr>
          <w:rFonts w:asciiTheme="majorHAnsi" w:eastAsia="Times New Roman" w:hAnsiTheme="majorHAnsi" w:cs="Calibri"/>
          <w:kern w:val="0"/>
          <w:sz w:val="20"/>
          <w:szCs w:val="20"/>
          <w14:ligatures w14:val="none"/>
        </w:rPr>
      </w:pPr>
      <w:r w:rsidRPr="00457ED2">
        <w:rPr>
          <w:rFonts w:asciiTheme="majorHAnsi" w:eastAsia="Times New Roman" w:hAnsiTheme="majorHAnsi" w:cs="Calibri"/>
          <w:b/>
          <w:bCs/>
          <w:kern w:val="0"/>
          <w:sz w:val="20"/>
          <w:szCs w:val="20"/>
          <w14:ligatures w14:val="none"/>
        </w:rPr>
        <w:t>Results.</w:t>
      </w:r>
      <w:r w:rsidRPr="00457ED2">
        <w:rPr>
          <w:rFonts w:asciiTheme="majorHAnsi" w:eastAsia="Times New Roman" w:hAnsiTheme="majorHAnsi" w:cs="Calibri"/>
          <w:kern w:val="0"/>
          <w:sz w:val="20"/>
          <w:szCs w:val="20"/>
          <w14:ligatures w14:val="none"/>
        </w:rPr>
        <w:t xml:space="preserve"> The mean age was 65.8 ± 5.7 years; 77.4% were female. Overall, 51.6% had good KAP. Older adults with good KAP were significantly older (68 vs 63 years, </w:t>
      </w:r>
      <w:r w:rsidRPr="00457ED2">
        <w:rPr>
          <w:rFonts w:asciiTheme="majorHAnsi" w:eastAsia="Times New Roman" w:hAnsiTheme="majorHAnsi" w:cs="Calibri"/>
          <w:i/>
          <w:iCs/>
          <w:kern w:val="0"/>
          <w:sz w:val="20"/>
          <w:szCs w:val="20"/>
          <w14:ligatures w14:val="none"/>
        </w:rPr>
        <w:t>p</w:t>
      </w:r>
      <w:r w:rsidRPr="00457ED2">
        <w:rPr>
          <w:rFonts w:asciiTheme="majorHAnsi" w:eastAsia="Times New Roman" w:hAnsiTheme="majorHAnsi" w:cs="Calibri"/>
          <w:kern w:val="0"/>
          <w:sz w:val="20"/>
          <w:szCs w:val="20"/>
          <w14:ligatures w14:val="none"/>
        </w:rPr>
        <w:t xml:space="preserve"> = 0.021). Participants with lower education (no formal schooling) were more common in the good KAP group, while those with secondary or higher education were more frequent in the poor KAP group, though not statistically significant (</w:t>
      </w:r>
      <w:r w:rsidRPr="00457ED2">
        <w:rPr>
          <w:rFonts w:asciiTheme="majorHAnsi" w:eastAsia="Times New Roman" w:hAnsiTheme="majorHAnsi" w:cs="Calibri"/>
          <w:i/>
          <w:iCs/>
          <w:kern w:val="0"/>
          <w:sz w:val="20"/>
          <w:szCs w:val="20"/>
          <w14:ligatures w14:val="none"/>
        </w:rPr>
        <w:t>p</w:t>
      </w:r>
      <w:r w:rsidRPr="00457ED2">
        <w:rPr>
          <w:rFonts w:asciiTheme="majorHAnsi" w:eastAsia="Times New Roman" w:hAnsiTheme="majorHAnsi" w:cs="Calibri"/>
          <w:kern w:val="0"/>
          <w:sz w:val="20"/>
          <w:szCs w:val="20"/>
          <w14:ligatures w14:val="none"/>
        </w:rPr>
        <w:t xml:space="preserve"> = 0.213). Gender distribution and number of medications were similar across groups. Correlation analyses between medication use and practice, and between knowledge and practice, were inconclusive due to limited variability.</w:t>
      </w:r>
    </w:p>
    <w:p w14:paraId="1D8CCCBF" w14:textId="20510C55" w:rsidR="00B70FEA" w:rsidRPr="009D7CB9" w:rsidRDefault="00B70FEA" w:rsidP="009D7CB9">
      <w:pPr>
        <w:spacing w:after="0" w:line="240" w:lineRule="auto"/>
        <w:jc w:val="both"/>
        <w:rPr>
          <w:rFonts w:ascii="Calibri" w:eastAsia="Times New Roman" w:hAnsi="Calibri" w:cs="Calibri"/>
          <w:kern w:val="0"/>
          <w:sz w:val="20"/>
          <w:szCs w:val="20"/>
          <w14:ligatures w14:val="none"/>
        </w:rPr>
      </w:pPr>
      <w:r w:rsidRPr="00457ED2">
        <w:rPr>
          <w:rFonts w:asciiTheme="majorHAnsi" w:eastAsia="Times New Roman" w:hAnsiTheme="majorHAnsi" w:cs="Calibri"/>
          <w:b/>
          <w:bCs/>
          <w:kern w:val="0"/>
          <w:sz w:val="20"/>
          <w:szCs w:val="20"/>
          <w14:ligatures w14:val="none"/>
        </w:rPr>
        <w:t>Discussion.</w:t>
      </w:r>
      <w:r w:rsidRPr="00457ED2">
        <w:rPr>
          <w:rFonts w:asciiTheme="majorHAnsi" w:eastAsia="Times New Roman" w:hAnsiTheme="majorHAnsi" w:cs="Calibri"/>
          <w:kern w:val="0"/>
          <w:sz w:val="20"/>
          <w:szCs w:val="20"/>
          <w14:ligatures w14:val="none"/>
        </w:rPr>
        <w:t xml:space="preserve"> More than half of older adults demonstrated good KAP on medication safety. Higher age was associated with better KAP, while higher education and medication use were not. These findings highlight the complexity of medication behavio</w:t>
      </w:r>
      <w:r w:rsidR="00457ED2" w:rsidRPr="00457ED2">
        <w:rPr>
          <w:rFonts w:asciiTheme="majorHAnsi" w:eastAsia="Times New Roman" w:hAnsiTheme="majorHAnsi" w:cs="Calibri"/>
          <w:kern w:val="0"/>
          <w:sz w:val="20"/>
          <w:szCs w:val="20"/>
          <w14:ligatures w14:val="none"/>
        </w:rPr>
        <w:t>u</w:t>
      </w:r>
      <w:r w:rsidRPr="00457ED2">
        <w:rPr>
          <w:rFonts w:asciiTheme="majorHAnsi" w:eastAsia="Times New Roman" w:hAnsiTheme="majorHAnsi" w:cs="Calibri"/>
          <w:kern w:val="0"/>
          <w:sz w:val="20"/>
          <w:szCs w:val="20"/>
          <w14:ligatures w14:val="none"/>
        </w:rPr>
        <w:t>rs in older adults and underscore the need for culturally tailored interventions to improve medication safety</w:t>
      </w:r>
      <w:r w:rsidRPr="009D7CB9">
        <w:rPr>
          <w:rFonts w:ascii="Calibri" w:eastAsia="Times New Roman" w:hAnsi="Calibri" w:cs="Calibri"/>
          <w:kern w:val="0"/>
          <w:sz w:val="20"/>
          <w:szCs w:val="20"/>
          <w14:ligatures w14:val="none"/>
        </w:rPr>
        <w:t>.</w:t>
      </w:r>
    </w:p>
    <w:p w14:paraId="29418C72" w14:textId="77777777" w:rsidR="009D7CB9" w:rsidRPr="009D7CB9" w:rsidRDefault="009D7CB9">
      <w:pPr>
        <w:rPr>
          <w:rFonts w:ascii="Calibri" w:eastAsia="Times New Roman" w:hAnsi="Calibri" w:cs="Calibri"/>
          <w:b/>
          <w:bCs/>
          <w:kern w:val="0"/>
          <w:sz w:val="20"/>
          <w:szCs w:val="20"/>
          <w14:ligatures w14:val="none"/>
        </w:rPr>
      </w:pPr>
    </w:p>
    <w:p w14:paraId="2D13F97F" w14:textId="77777777" w:rsidR="009D7CB9" w:rsidRPr="00457ED2" w:rsidRDefault="009D7CB9" w:rsidP="00457ED2">
      <w:pPr>
        <w:spacing w:after="0" w:line="240" w:lineRule="auto"/>
        <w:rPr>
          <w:rFonts w:ascii="Calibri" w:eastAsia="Times New Roman" w:hAnsi="Calibri" w:cs="Calibri"/>
          <w:kern w:val="0"/>
          <w:sz w:val="20"/>
          <w:szCs w:val="20"/>
          <w14:ligatures w14:val="none"/>
        </w:rPr>
      </w:pPr>
      <w:r w:rsidRPr="00457ED2">
        <w:rPr>
          <w:rFonts w:ascii="Calibri" w:eastAsia="Times New Roman" w:hAnsi="Calibri" w:cs="Calibri"/>
          <w:kern w:val="0"/>
          <w:sz w:val="20"/>
          <w:szCs w:val="20"/>
          <w14:ligatures w14:val="none"/>
        </w:rPr>
        <w:t>References</w:t>
      </w:r>
    </w:p>
    <w:p w14:paraId="02616589" w14:textId="0D4126E7" w:rsidR="009D7CB9" w:rsidRPr="00457ED2" w:rsidRDefault="00457ED2" w:rsidP="00457ED2">
      <w:pPr>
        <w:spacing w:after="0" w:line="240" w:lineRule="auto"/>
        <w:jc w:val="both"/>
        <w:rPr>
          <w:rFonts w:ascii="Calibri" w:hAnsi="Calibri" w:cs="Calibri"/>
          <w:color w:val="212121"/>
          <w:sz w:val="20"/>
          <w:szCs w:val="20"/>
          <w:shd w:val="clear" w:color="auto" w:fill="FFFFFF"/>
        </w:rPr>
      </w:pPr>
      <w:r w:rsidRPr="00457ED2">
        <w:rPr>
          <w:rFonts w:ascii="Calibri" w:hAnsi="Calibri" w:cs="Calibri"/>
          <w:color w:val="212121"/>
          <w:sz w:val="20"/>
          <w:szCs w:val="20"/>
          <w:shd w:val="clear" w:color="auto" w:fill="FFFFFF"/>
        </w:rPr>
        <w:t xml:space="preserve">Mekonnen A, Redley B, Crawford K, Jones S, de </w:t>
      </w:r>
      <w:proofErr w:type="spellStart"/>
      <w:r w:rsidRPr="00457ED2">
        <w:rPr>
          <w:rFonts w:ascii="Calibri" w:hAnsi="Calibri" w:cs="Calibri"/>
          <w:color w:val="212121"/>
          <w:sz w:val="20"/>
          <w:szCs w:val="20"/>
          <w:shd w:val="clear" w:color="auto" w:fill="FFFFFF"/>
        </w:rPr>
        <w:t>Courten</w:t>
      </w:r>
      <w:proofErr w:type="spellEnd"/>
      <w:r w:rsidRPr="00457ED2">
        <w:rPr>
          <w:rFonts w:ascii="Calibri" w:hAnsi="Calibri" w:cs="Calibri"/>
          <w:color w:val="212121"/>
          <w:sz w:val="20"/>
          <w:szCs w:val="20"/>
          <w:shd w:val="clear" w:color="auto" w:fill="FFFFFF"/>
        </w:rPr>
        <w:t xml:space="preserve"> B, Manias E. Associations between hyper-polypharmacy and potentially inappropriate prescribing with clinical and functional outcomes in older adults. Expert </w:t>
      </w:r>
      <w:proofErr w:type="spellStart"/>
      <w:r w:rsidRPr="00457ED2">
        <w:rPr>
          <w:rFonts w:ascii="Calibri" w:hAnsi="Calibri" w:cs="Calibri"/>
          <w:color w:val="212121"/>
          <w:sz w:val="20"/>
          <w:szCs w:val="20"/>
          <w:shd w:val="clear" w:color="auto" w:fill="FFFFFF"/>
        </w:rPr>
        <w:t>Opin</w:t>
      </w:r>
      <w:proofErr w:type="spellEnd"/>
      <w:r w:rsidRPr="00457ED2">
        <w:rPr>
          <w:rFonts w:ascii="Calibri" w:hAnsi="Calibri" w:cs="Calibri"/>
          <w:color w:val="212121"/>
          <w:sz w:val="20"/>
          <w:szCs w:val="20"/>
          <w:shd w:val="clear" w:color="auto" w:fill="FFFFFF"/>
        </w:rPr>
        <w:t xml:space="preserve"> Drug Saf. 2022;21(7):985-994. </w:t>
      </w:r>
      <w:proofErr w:type="spellStart"/>
      <w:r w:rsidRPr="00457ED2">
        <w:rPr>
          <w:rFonts w:ascii="Calibri" w:hAnsi="Calibri" w:cs="Calibri"/>
          <w:color w:val="212121"/>
          <w:sz w:val="20"/>
          <w:szCs w:val="20"/>
          <w:shd w:val="clear" w:color="auto" w:fill="FFFFFF"/>
        </w:rPr>
        <w:t>doi</w:t>
      </w:r>
      <w:proofErr w:type="spellEnd"/>
      <w:r w:rsidRPr="00457ED2">
        <w:rPr>
          <w:rFonts w:ascii="Calibri" w:hAnsi="Calibri" w:cs="Calibri"/>
          <w:color w:val="212121"/>
          <w:sz w:val="20"/>
          <w:szCs w:val="20"/>
          <w:shd w:val="clear" w:color="auto" w:fill="FFFFFF"/>
        </w:rPr>
        <w:t>: 10.1080/14740338.2022.2044786.</w:t>
      </w:r>
    </w:p>
    <w:p w14:paraId="6813E949" w14:textId="64F0AF02" w:rsidR="00457ED2" w:rsidRPr="00457ED2" w:rsidRDefault="00457ED2" w:rsidP="00457ED2">
      <w:pPr>
        <w:spacing w:after="0" w:line="240" w:lineRule="auto"/>
        <w:jc w:val="both"/>
        <w:rPr>
          <w:rFonts w:ascii="Calibri" w:eastAsia="Times New Roman" w:hAnsi="Calibri" w:cs="Calibri"/>
          <w:b/>
          <w:bCs/>
          <w:kern w:val="0"/>
          <w:sz w:val="20"/>
          <w:szCs w:val="20"/>
          <w14:ligatures w14:val="none"/>
        </w:rPr>
      </w:pPr>
      <w:r w:rsidRPr="00457ED2">
        <w:rPr>
          <w:rFonts w:ascii="Calibri" w:hAnsi="Calibri" w:cs="Calibri"/>
          <w:color w:val="212121"/>
          <w:sz w:val="20"/>
          <w:szCs w:val="20"/>
          <w:shd w:val="clear" w:color="auto" w:fill="FFFFFF"/>
        </w:rPr>
        <w:t xml:space="preserve">Lee M, Kim K, Rhew K, Choi KH. A Knowledge, Attitude, and Practice Survey on Medication Safety in Korean Older Adults: An Analysis of an Ageing Society. Healthcare (Basel). 2021;9(10):1365. </w:t>
      </w:r>
      <w:proofErr w:type="spellStart"/>
      <w:r w:rsidRPr="00457ED2">
        <w:rPr>
          <w:rFonts w:ascii="Calibri" w:hAnsi="Calibri" w:cs="Calibri"/>
          <w:color w:val="212121"/>
          <w:sz w:val="20"/>
          <w:szCs w:val="20"/>
          <w:shd w:val="clear" w:color="auto" w:fill="FFFFFF"/>
        </w:rPr>
        <w:t>doi</w:t>
      </w:r>
      <w:proofErr w:type="spellEnd"/>
      <w:r w:rsidRPr="00457ED2">
        <w:rPr>
          <w:rFonts w:ascii="Calibri" w:hAnsi="Calibri" w:cs="Calibri"/>
          <w:color w:val="212121"/>
          <w:sz w:val="20"/>
          <w:szCs w:val="20"/>
          <w:shd w:val="clear" w:color="auto" w:fill="FFFFFF"/>
        </w:rPr>
        <w:t>: 10.3390/healthcare9101365.</w:t>
      </w:r>
    </w:p>
    <w:sectPr w:rsidR="00457ED2" w:rsidRPr="00457ED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EA"/>
    <w:rsid w:val="000479C8"/>
    <w:rsid w:val="000F028A"/>
    <w:rsid w:val="00315A15"/>
    <w:rsid w:val="003267AC"/>
    <w:rsid w:val="00383692"/>
    <w:rsid w:val="00457ED2"/>
    <w:rsid w:val="00971A2C"/>
    <w:rsid w:val="009D7BE7"/>
    <w:rsid w:val="009D7CB9"/>
    <w:rsid w:val="00A2296F"/>
    <w:rsid w:val="00B70FEA"/>
    <w:rsid w:val="00CD095E"/>
    <w:rsid w:val="00D10EFD"/>
    <w:rsid w:val="00E35899"/>
    <w:rsid w:val="00F73D8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2326FD11"/>
  <w15:chartTrackingRefBased/>
  <w15:docId w15:val="{B727DD57-F684-A74B-A561-00C8033F0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0F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0F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0F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0F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0F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0F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F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F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F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F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0F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0F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0F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0F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0F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F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F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FEA"/>
    <w:rPr>
      <w:rFonts w:eastAsiaTheme="majorEastAsia" w:cstheme="majorBidi"/>
      <w:color w:val="272727" w:themeColor="text1" w:themeTint="D8"/>
    </w:rPr>
  </w:style>
  <w:style w:type="paragraph" w:styleId="Title">
    <w:name w:val="Title"/>
    <w:basedOn w:val="Normal"/>
    <w:next w:val="Normal"/>
    <w:link w:val="TitleChar"/>
    <w:uiPriority w:val="10"/>
    <w:qFormat/>
    <w:rsid w:val="00B70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F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F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F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FEA"/>
    <w:pPr>
      <w:spacing w:before="160"/>
      <w:jc w:val="center"/>
    </w:pPr>
    <w:rPr>
      <w:i/>
      <w:iCs/>
      <w:color w:val="404040" w:themeColor="text1" w:themeTint="BF"/>
    </w:rPr>
  </w:style>
  <w:style w:type="character" w:customStyle="1" w:styleId="QuoteChar">
    <w:name w:val="Quote Char"/>
    <w:basedOn w:val="DefaultParagraphFont"/>
    <w:link w:val="Quote"/>
    <w:uiPriority w:val="29"/>
    <w:rsid w:val="00B70FEA"/>
    <w:rPr>
      <w:i/>
      <w:iCs/>
      <w:color w:val="404040" w:themeColor="text1" w:themeTint="BF"/>
    </w:rPr>
  </w:style>
  <w:style w:type="paragraph" w:styleId="ListParagraph">
    <w:name w:val="List Paragraph"/>
    <w:basedOn w:val="Normal"/>
    <w:uiPriority w:val="34"/>
    <w:qFormat/>
    <w:rsid w:val="00B70FEA"/>
    <w:pPr>
      <w:ind w:left="720"/>
      <w:contextualSpacing/>
    </w:pPr>
  </w:style>
  <w:style w:type="character" w:styleId="IntenseEmphasis">
    <w:name w:val="Intense Emphasis"/>
    <w:basedOn w:val="DefaultParagraphFont"/>
    <w:uiPriority w:val="21"/>
    <w:qFormat/>
    <w:rsid w:val="00B70FEA"/>
    <w:rPr>
      <w:i/>
      <w:iCs/>
      <w:color w:val="0F4761" w:themeColor="accent1" w:themeShade="BF"/>
    </w:rPr>
  </w:style>
  <w:style w:type="paragraph" w:styleId="IntenseQuote">
    <w:name w:val="Intense Quote"/>
    <w:basedOn w:val="Normal"/>
    <w:next w:val="Normal"/>
    <w:link w:val="IntenseQuoteChar"/>
    <w:uiPriority w:val="30"/>
    <w:qFormat/>
    <w:rsid w:val="00B70F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0FEA"/>
    <w:rPr>
      <w:i/>
      <w:iCs/>
      <w:color w:val="0F4761" w:themeColor="accent1" w:themeShade="BF"/>
    </w:rPr>
  </w:style>
  <w:style w:type="character" w:styleId="IntenseReference">
    <w:name w:val="Intense Reference"/>
    <w:basedOn w:val="DefaultParagraphFont"/>
    <w:uiPriority w:val="32"/>
    <w:qFormat/>
    <w:rsid w:val="00B70FEA"/>
    <w:rPr>
      <w:b/>
      <w:bCs/>
      <w:smallCaps/>
      <w:color w:val="0F4761" w:themeColor="accent1" w:themeShade="BF"/>
      <w:spacing w:val="5"/>
    </w:rPr>
  </w:style>
  <w:style w:type="character" w:styleId="Strong">
    <w:name w:val="Strong"/>
    <w:basedOn w:val="DefaultParagraphFont"/>
    <w:uiPriority w:val="22"/>
    <w:qFormat/>
    <w:rsid w:val="00B70FEA"/>
    <w:rPr>
      <w:b/>
      <w:bCs/>
    </w:rPr>
  </w:style>
  <w:style w:type="paragraph" w:styleId="NormalWeb">
    <w:name w:val="Normal (Web)"/>
    <w:basedOn w:val="Normal"/>
    <w:uiPriority w:val="99"/>
    <w:semiHidden/>
    <w:unhideWhenUsed/>
    <w:rsid w:val="00B70FE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B70FEA"/>
    <w:rPr>
      <w:i/>
      <w:iCs/>
    </w:rPr>
  </w:style>
  <w:style w:type="character" w:customStyle="1" w:styleId="apple-converted-space">
    <w:name w:val="apple-converted-space"/>
    <w:basedOn w:val="DefaultParagraphFont"/>
    <w:rsid w:val="009D7CB9"/>
  </w:style>
  <w:style w:type="character" w:styleId="Hyperlink">
    <w:name w:val="Hyperlink"/>
    <w:basedOn w:val="DefaultParagraphFont"/>
    <w:uiPriority w:val="99"/>
    <w:unhideWhenUsed/>
    <w:rsid w:val="009D7CB9"/>
    <w:rPr>
      <w:color w:val="467886" w:themeColor="hyperlink"/>
      <w:u w:val="single"/>
    </w:rPr>
  </w:style>
  <w:style w:type="character" w:styleId="UnresolvedMention">
    <w:name w:val="Unresolved Mention"/>
    <w:basedOn w:val="DefaultParagraphFont"/>
    <w:uiPriority w:val="99"/>
    <w:semiHidden/>
    <w:unhideWhenUsed/>
    <w:rsid w:val="009D7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Gestina Aliska</dc:creator>
  <cp:keywords/>
  <dc:description/>
  <cp:lastModifiedBy>Gestina Aliska</cp:lastModifiedBy>
  <cp:revision>3</cp:revision>
  <dcterms:created xsi:type="dcterms:W3CDTF">2025-09-15T13:05:00Z</dcterms:created>
  <dcterms:modified xsi:type="dcterms:W3CDTF">2025-09-15T22:23:00Z</dcterms:modified>
</cp:coreProperties>
</file>