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4B53C4BB" w:rsidR="00711813" w:rsidRPr="00DF1C8E" w:rsidRDefault="00106C1E" w:rsidP="00F26BBE">
      <w:pPr>
        <w:jc w:val="center"/>
        <w:rPr>
          <w:rFonts w:ascii="Calibri" w:hAnsi="Calibri" w:cs="Calibri"/>
          <w:b/>
          <w:sz w:val="28"/>
          <w:szCs w:val="28"/>
          <w:lang w:val="en-AU"/>
        </w:rPr>
      </w:pPr>
      <w:bookmarkStart w:id="0" w:name="_GoBack"/>
      <w:bookmarkEnd w:id="0"/>
      <w:r>
        <w:rPr>
          <w:rFonts w:ascii="Calibri" w:hAnsi="Calibri" w:cs="Calibri"/>
          <w:b/>
          <w:sz w:val="28"/>
          <w:szCs w:val="28"/>
          <w:lang w:val="en-AU"/>
        </w:rPr>
        <w:t>Effects of microstructure and growth conditions on quantum emitters in gallium nitride</w:t>
      </w:r>
    </w:p>
    <w:p w14:paraId="57C45AC5" w14:textId="77777777" w:rsidR="00DF1C8E" w:rsidRDefault="00DF1C8E" w:rsidP="00711813">
      <w:pPr>
        <w:jc w:val="both"/>
        <w:rPr>
          <w:rFonts w:ascii="Calibri" w:hAnsi="Calibri" w:cs="Calibri"/>
          <w:sz w:val="20"/>
          <w:szCs w:val="20"/>
          <w:lang w:val="en-AU"/>
        </w:rPr>
      </w:pPr>
    </w:p>
    <w:p w14:paraId="22DB1634" w14:textId="1D807A26" w:rsidR="00DF1C8E" w:rsidRPr="005F19FF" w:rsidRDefault="00571731" w:rsidP="00F26BBE">
      <w:pPr>
        <w:jc w:val="center"/>
        <w:rPr>
          <w:rFonts w:ascii="Calibri" w:hAnsi="Calibri" w:cs="Calibri"/>
          <w:i/>
          <w:lang w:val="en-AU"/>
        </w:rPr>
      </w:pPr>
      <w:r w:rsidRPr="007E207B">
        <w:rPr>
          <w:rFonts w:ascii="Calibri" w:hAnsi="Calibri" w:cs="Calibri"/>
          <w:i/>
          <w:u w:val="single"/>
          <w:lang w:val="en-AU"/>
        </w:rPr>
        <w:t>Minh A Nguyen</w:t>
      </w:r>
      <w:r w:rsidR="005F19FF" w:rsidRPr="007E207B">
        <w:rPr>
          <w:rFonts w:ascii="Calibri" w:hAnsi="Calibri" w:cs="Calibri"/>
          <w:i/>
          <w:u w:val="single"/>
          <w:vertAlign w:val="superscript"/>
          <w:lang w:val="en-AU"/>
        </w:rPr>
        <w:t>A</w:t>
      </w:r>
      <w:r w:rsidR="00F13F03">
        <w:rPr>
          <w:rFonts w:ascii="Calibri" w:hAnsi="Calibri" w:cs="Calibri"/>
          <w:i/>
          <w:vertAlign w:val="superscript"/>
          <w:lang w:val="en-AU"/>
        </w:rPr>
        <w:t>*</w:t>
      </w:r>
      <w:r w:rsidR="00711813" w:rsidRPr="005F19FF">
        <w:rPr>
          <w:rFonts w:ascii="Calibri" w:hAnsi="Calibri" w:cs="Calibri"/>
          <w:i/>
          <w:lang w:val="en-AU"/>
        </w:rPr>
        <w:t>,</w:t>
      </w:r>
      <w:r>
        <w:rPr>
          <w:rFonts w:ascii="Calibri" w:hAnsi="Calibri" w:cs="Calibri"/>
          <w:i/>
          <w:lang w:val="en-AU"/>
        </w:rPr>
        <w:t xml:space="preserve"> </w:t>
      </w:r>
      <w:r w:rsidR="001119DC">
        <w:rPr>
          <w:rFonts w:ascii="Calibri" w:hAnsi="Calibri" w:cs="Calibri"/>
          <w:i/>
          <w:lang w:val="en-AU"/>
        </w:rPr>
        <w:t>Tongtong Zhu</w:t>
      </w:r>
      <w:r w:rsidR="00711813" w:rsidRPr="005F19FF">
        <w:rPr>
          <w:rFonts w:ascii="Calibri" w:hAnsi="Calibri" w:cs="Calibri"/>
          <w:i/>
          <w:lang w:val="en-AU"/>
        </w:rPr>
        <w:t xml:space="preserve"> </w:t>
      </w:r>
      <w:r w:rsidR="001119DC">
        <w:rPr>
          <w:rFonts w:ascii="Calibri" w:hAnsi="Calibri" w:cs="Calibri"/>
          <w:i/>
          <w:vertAlign w:val="superscript"/>
          <w:lang w:val="en-AU"/>
        </w:rPr>
        <w:t>B</w:t>
      </w:r>
      <w:r w:rsidRPr="00571731">
        <w:rPr>
          <w:rFonts w:ascii="Calibri" w:hAnsi="Calibri" w:cs="Calibri"/>
          <w:i/>
          <w:lang w:val="en-AU"/>
        </w:rPr>
        <w:t xml:space="preserve"> </w:t>
      </w:r>
      <w:r w:rsidR="001119DC">
        <w:rPr>
          <w:rFonts w:ascii="Calibri" w:hAnsi="Calibri" w:cs="Calibri"/>
          <w:i/>
          <w:lang w:val="en-AU"/>
        </w:rPr>
        <w:t>Mehran Kianinia</w:t>
      </w:r>
      <w:r w:rsidRPr="005F19FF">
        <w:rPr>
          <w:rFonts w:ascii="Calibri" w:hAnsi="Calibri" w:cs="Calibri"/>
          <w:i/>
          <w:vertAlign w:val="superscript"/>
          <w:lang w:val="en-AU"/>
        </w:rPr>
        <w:t>A</w:t>
      </w:r>
      <w:r w:rsidRPr="005F19FF">
        <w:rPr>
          <w:rFonts w:ascii="Calibri" w:hAnsi="Calibri" w:cs="Calibri"/>
          <w:i/>
          <w:lang w:val="en-AU"/>
        </w:rPr>
        <w:t>,</w:t>
      </w:r>
      <w:r w:rsidRPr="00571731">
        <w:rPr>
          <w:rFonts w:ascii="Calibri" w:hAnsi="Calibri" w:cs="Calibri"/>
          <w:i/>
          <w:lang w:val="en-AU"/>
        </w:rPr>
        <w:t xml:space="preserve"> </w:t>
      </w:r>
      <w:r w:rsidR="001119DC">
        <w:rPr>
          <w:rFonts w:ascii="Calibri" w:hAnsi="Calibri" w:cs="Calibri"/>
          <w:i/>
          <w:lang w:val="en-AU"/>
        </w:rPr>
        <w:t>Fabien Massabuau</w:t>
      </w:r>
      <w:r w:rsidR="001119DC">
        <w:rPr>
          <w:rFonts w:ascii="Calibri" w:hAnsi="Calibri" w:cs="Calibri"/>
          <w:i/>
          <w:vertAlign w:val="superscript"/>
          <w:lang w:val="en-AU"/>
        </w:rPr>
        <w:t>B</w:t>
      </w:r>
      <w:r w:rsidRPr="005F19FF">
        <w:rPr>
          <w:rFonts w:ascii="Calibri" w:hAnsi="Calibri" w:cs="Calibri"/>
          <w:i/>
          <w:lang w:val="en-AU"/>
        </w:rPr>
        <w:t>,</w:t>
      </w:r>
      <w:r w:rsidRPr="00571731">
        <w:rPr>
          <w:rFonts w:ascii="Calibri" w:hAnsi="Calibri" w:cs="Calibri"/>
          <w:i/>
          <w:lang w:val="en-AU"/>
        </w:rPr>
        <w:t xml:space="preserve"> </w:t>
      </w:r>
      <w:r w:rsidR="001119DC">
        <w:rPr>
          <w:rFonts w:ascii="Calibri" w:hAnsi="Calibri" w:cs="Calibri"/>
          <w:i/>
          <w:lang w:val="en-AU"/>
        </w:rPr>
        <w:t>Igor Aharonovich</w:t>
      </w:r>
      <w:r w:rsidRPr="005F19FF">
        <w:rPr>
          <w:rFonts w:ascii="Calibri" w:hAnsi="Calibri" w:cs="Calibri"/>
          <w:i/>
          <w:vertAlign w:val="superscript"/>
          <w:lang w:val="en-AU"/>
        </w:rPr>
        <w:t>A</w:t>
      </w:r>
      <w:r w:rsidRPr="005F19FF">
        <w:rPr>
          <w:rFonts w:ascii="Calibri" w:hAnsi="Calibri" w:cs="Calibri"/>
          <w:i/>
          <w:lang w:val="en-AU"/>
        </w:rPr>
        <w:t>,</w:t>
      </w:r>
      <w:r w:rsidRPr="00571731">
        <w:rPr>
          <w:rFonts w:ascii="Calibri" w:hAnsi="Calibri" w:cs="Calibri"/>
          <w:i/>
          <w:lang w:val="en-AU"/>
        </w:rPr>
        <w:t xml:space="preserve"> </w:t>
      </w:r>
      <w:r>
        <w:rPr>
          <w:rFonts w:ascii="Calibri" w:hAnsi="Calibri" w:cs="Calibri"/>
          <w:i/>
          <w:lang w:val="en-AU"/>
        </w:rPr>
        <w:t>Milos Toth</w:t>
      </w:r>
      <w:r w:rsidRPr="005F19FF">
        <w:rPr>
          <w:rFonts w:ascii="Calibri" w:hAnsi="Calibri" w:cs="Calibri"/>
          <w:i/>
          <w:vertAlign w:val="superscript"/>
          <w:lang w:val="en-AU"/>
        </w:rPr>
        <w:t>A</w:t>
      </w:r>
      <w:r w:rsidRPr="005F19FF">
        <w:rPr>
          <w:rFonts w:ascii="Calibri" w:hAnsi="Calibri" w:cs="Calibri"/>
          <w:i/>
          <w:lang w:val="en-AU"/>
        </w:rPr>
        <w:t>,</w:t>
      </w:r>
      <w:r w:rsidRPr="00571731">
        <w:rPr>
          <w:rFonts w:ascii="Calibri" w:hAnsi="Calibri" w:cs="Calibri"/>
          <w:i/>
          <w:lang w:val="en-AU"/>
        </w:rPr>
        <w:t xml:space="preserve"> </w:t>
      </w:r>
      <w:r w:rsidR="001119DC">
        <w:rPr>
          <w:rFonts w:ascii="Calibri" w:hAnsi="Calibri" w:cs="Calibri"/>
          <w:i/>
          <w:lang w:val="en-AU"/>
        </w:rPr>
        <w:t>Rachel Oliver</w:t>
      </w:r>
      <w:r w:rsidR="001119DC">
        <w:rPr>
          <w:rFonts w:ascii="Calibri" w:hAnsi="Calibri" w:cs="Calibri"/>
          <w:i/>
          <w:vertAlign w:val="superscript"/>
          <w:lang w:val="en-AU"/>
        </w:rPr>
        <w:t>B</w:t>
      </w:r>
      <w:r w:rsidRPr="005F19FF">
        <w:rPr>
          <w:rFonts w:ascii="Calibri" w:hAnsi="Calibri" w:cs="Calibri"/>
          <w:i/>
          <w:lang w:val="en-AU"/>
        </w:rPr>
        <w:t>,</w:t>
      </w:r>
      <w:r w:rsidR="001119DC">
        <w:rPr>
          <w:rFonts w:ascii="Calibri" w:hAnsi="Calibri" w:cs="Calibri"/>
          <w:i/>
          <w:lang w:val="en-AU"/>
        </w:rPr>
        <w:t xml:space="preserve"> Carlo Bradac</w:t>
      </w:r>
      <w:r w:rsidR="001119DC" w:rsidRPr="005F19FF">
        <w:rPr>
          <w:rFonts w:ascii="Calibri" w:hAnsi="Calibri" w:cs="Calibri"/>
          <w:i/>
          <w:vertAlign w:val="superscript"/>
          <w:lang w:val="en-AU"/>
        </w:rPr>
        <w:t>A</w:t>
      </w:r>
    </w:p>
    <w:p w14:paraId="49EF8C2D" w14:textId="14A21FE0" w:rsidR="00711813"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571731">
        <w:rPr>
          <w:rFonts w:ascii="Calibri" w:hAnsi="Calibri" w:cs="Calibri"/>
          <w:sz w:val="22"/>
          <w:szCs w:val="22"/>
          <w:lang w:val="en-AU"/>
        </w:rPr>
        <w:t>School of Mathematical and Physical Sciences</w:t>
      </w:r>
      <w:r w:rsidR="00711813" w:rsidRPr="006B3866">
        <w:rPr>
          <w:rFonts w:ascii="Calibri" w:hAnsi="Calibri" w:cs="Calibri"/>
          <w:sz w:val="22"/>
          <w:szCs w:val="22"/>
          <w:lang w:val="en-AU"/>
        </w:rPr>
        <w:t xml:space="preserve">, </w:t>
      </w:r>
      <w:r w:rsidR="00571731">
        <w:rPr>
          <w:rFonts w:ascii="Calibri" w:hAnsi="Calibri" w:cs="Calibri"/>
          <w:sz w:val="22"/>
          <w:szCs w:val="22"/>
          <w:lang w:val="en-AU"/>
        </w:rPr>
        <w:t>University of Technology Sydney</w:t>
      </w:r>
      <w:r w:rsidR="00711813" w:rsidRPr="006B3866">
        <w:rPr>
          <w:rFonts w:ascii="Calibri" w:hAnsi="Calibri" w:cs="Calibri"/>
          <w:sz w:val="22"/>
          <w:szCs w:val="22"/>
          <w:lang w:val="en-AU"/>
        </w:rPr>
        <w:t xml:space="preserve">, </w:t>
      </w:r>
      <w:r w:rsidR="00571731">
        <w:rPr>
          <w:rFonts w:ascii="Calibri" w:hAnsi="Calibri" w:cs="Calibri"/>
          <w:sz w:val="22"/>
          <w:szCs w:val="22"/>
          <w:lang w:val="en-AU"/>
        </w:rPr>
        <w:t>Ultimo</w:t>
      </w:r>
      <w:r w:rsidR="00EF12F3" w:rsidRPr="006B3866">
        <w:rPr>
          <w:rFonts w:ascii="Calibri" w:hAnsi="Calibri" w:cs="Calibri"/>
          <w:sz w:val="22"/>
          <w:szCs w:val="22"/>
          <w:lang w:val="en-AU"/>
        </w:rPr>
        <w:t xml:space="preserve">, </w:t>
      </w:r>
      <w:r w:rsidR="00571731">
        <w:rPr>
          <w:rFonts w:ascii="Calibri" w:hAnsi="Calibri" w:cs="Calibri"/>
          <w:sz w:val="22"/>
          <w:szCs w:val="22"/>
          <w:lang w:val="en-AU"/>
        </w:rPr>
        <w:t>Australia</w:t>
      </w:r>
    </w:p>
    <w:p w14:paraId="2AAD9E42" w14:textId="4DD551FC" w:rsidR="00206930" w:rsidRPr="006B3866" w:rsidRDefault="00206930" w:rsidP="00F26BBE">
      <w:pPr>
        <w:jc w:val="center"/>
        <w:rPr>
          <w:rFonts w:ascii="Calibri" w:hAnsi="Calibri" w:cs="Calibri"/>
          <w:sz w:val="22"/>
          <w:szCs w:val="22"/>
          <w:lang w:val="en-AU"/>
        </w:rPr>
      </w:pPr>
      <w:r w:rsidRPr="00206930">
        <w:rPr>
          <w:rFonts w:ascii="Calibri" w:hAnsi="Calibri" w:cs="Calibri"/>
          <w:sz w:val="22"/>
          <w:szCs w:val="22"/>
          <w:vertAlign w:val="superscript"/>
          <w:lang w:val="en-AU"/>
        </w:rPr>
        <w:t>B</w:t>
      </w:r>
      <w:r>
        <w:rPr>
          <w:rFonts w:ascii="Calibri" w:hAnsi="Calibri" w:cs="Calibri"/>
          <w:sz w:val="22"/>
          <w:szCs w:val="22"/>
          <w:lang w:val="en-AU"/>
        </w:rPr>
        <w:t>Department of Material Science and Metallurgy, University of Cambridge, Cambridge, United Kingdom</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15B6F656" w:rsidR="00711813" w:rsidRPr="00385986" w:rsidRDefault="00711813" w:rsidP="00711813">
      <w:pPr>
        <w:jc w:val="both"/>
        <w:rPr>
          <w:rFonts w:asciiTheme="minorHAnsi" w:hAnsiTheme="minorHAnsi" w:cstheme="minorHAnsi"/>
          <w:b/>
          <w:bCs/>
          <w:szCs w:val="22"/>
          <w:lang w:val="en-AU"/>
        </w:rPr>
      </w:pPr>
      <w:r w:rsidRPr="00385986">
        <w:rPr>
          <w:rFonts w:asciiTheme="minorHAnsi" w:hAnsiTheme="minorHAnsi" w:cstheme="minorHAnsi"/>
          <w:b/>
          <w:szCs w:val="22"/>
          <w:lang w:val="en-AU"/>
        </w:rPr>
        <w:t>Introduction</w:t>
      </w:r>
      <w:r w:rsidR="00571731" w:rsidRPr="00385986">
        <w:rPr>
          <w:rFonts w:asciiTheme="minorHAnsi" w:hAnsiTheme="minorHAnsi" w:cstheme="minorHAnsi"/>
          <w:b/>
          <w:szCs w:val="22"/>
          <w:lang w:val="en-AU"/>
        </w:rPr>
        <w:t xml:space="preserve"> and Aims</w:t>
      </w:r>
    </w:p>
    <w:p w14:paraId="52381567" w14:textId="7D9FF91B" w:rsidR="00571731" w:rsidRPr="00385986" w:rsidRDefault="00106C1E" w:rsidP="00F84226">
      <w:pPr>
        <w:jc w:val="both"/>
        <w:rPr>
          <w:rFonts w:asciiTheme="minorHAnsi" w:hAnsiTheme="minorHAnsi" w:cstheme="minorHAnsi"/>
          <w:sz w:val="22"/>
          <w:szCs w:val="22"/>
          <w:lang w:val="en-AU"/>
        </w:rPr>
      </w:pPr>
      <w:r w:rsidRPr="00385986">
        <w:rPr>
          <w:rFonts w:asciiTheme="minorHAnsi" w:hAnsiTheme="minorHAnsi" w:cstheme="minorHAnsi"/>
          <w:sz w:val="22"/>
          <w:szCs w:val="22"/>
          <w:lang w:val="en-AU"/>
        </w:rPr>
        <w:t>Single-photon emitters (SPEs)</w:t>
      </w:r>
      <w:r w:rsidR="00120251" w:rsidRPr="00385986">
        <w:rPr>
          <w:rFonts w:asciiTheme="minorHAnsi" w:hAnsiTheme="minorHAnsi" w:cstheme="minorHAnsi"/>
          <w:sz w:val="22"/>
          <w:szCs w:val="22"/>
          <w:lang w:val="en-AU"/>
        </w:rPr>
        <w:t xml:space="preserve"> hosted in solid-state materials</w:t>
      </w:r>
      <w:r w:rsidRPr="00385986">
        <w:rPr>
          <w:rFonts w:asciiTheme="minorHAnsi" w:hAnsiTheme="minorHAnsi" w:cstheme="minorHAnsi"/>
          <w:sz w:val="22"/>
          <w:szCs w:val="22"/>
          <w:lang w:val="en-AU"/>
        </w:rPr>
        <w:t xml:space="preserve"> are a fundamental component to various quantum-based technologies</w:t>
      </w:r>
      <w:r w:rsidR="00EF5713" w:rsidRPr="00385986">
        <w:rPr>
          <w:rFonts w:asciiTheme="minorHAnsi" w:hAnsiTheme="minorHAnsi" w:cstheme="minorHAnsi"/>
          <w:sz w:val="22"/>
          <w:szCs w:val="22"/>
          <w:lang w:val="en-AU"/>
        </w:rPr>
        <w:t xml:space="preserve"> –</w:t>
      </w:r>
      <w:r w:rsidR="00996BFE" w:rsidRPr="00385986">
        <w:rPr>
          <w:rFonts w:asciiTheme="minorHAnsi" w:hAnsiTheme="minorHAnsi" w:cstheme="minorHAnsi"/>
          <w:sz w:val="22"/>
          <w:szCs w:val="22"/>
          <w:lang w:val="en-AU"/>
        </w:rPr>
        <w:t xml:space="preserve"> combining the</w:t>
      </w:r>
      <w:r w:rsidR="00EF5713" w:rsidRPr="00385986">
        <w:rPr>
          <w:rFonts w:asciiTheme="minorHAnsi" w:hAnsiTheme="minorHAnsi" w:cstheme="minorHAnsi"/>
          <w:sz w:val="22"/>
          <w:szCs w:val="22"/>
          <w:lang w:val="en-AU"/>
        </w:rPr>
        <w:t xml:space="preserve"> outstanding optical properties of atoms with the convenience and scalability of solid-state hosts. Gallium nitride is one such </w:t>
      </w:r>
      <w:r w:rsidR="00996BFE" w:rsidRPr="00385986">
        <w:rPr>
          <w:rFonts w:asciiTheme="minorHAnsi" w:hAnsiTheme="minorHAnsi" w:cstheme="minorHAnsi"/>
          <w:sz w:val="22"/>
          <w:szCs w:val="22"/>
          <w:lang w:val="en-AU"/>
        </w:rPr>
        <w:t>material</w:t>
      </w:r>
      <w:r w:rsidR="00EF5713" w:rsidRPr="00385986">
        <w:rPr>
          <w:rFonts w:asciiTheme="minorHAnsi" w:hAnsiTheme="minorHAnsi" w:cstheme="minorHAnsi"/>
          <w:sz w:val="22"/>
          <w:szCs w:val="22"/>
          <w:lang w:val="en-AU"/>
        </w:rPr>
        <w:t>, host</w:t>
      </w:r>
      <w:r w:rsidR="00996BFE" w:rsidRPr="00385986">
        <w:rPr>
          <w:rFonts w:asciiTheme="minorHAnsi" w:hAnsiTheme="minorHAnsi" w:cstheme="minorHAnsi"/>
          <w:sz w:val="22"/>
          <w:szCs w:val="22"/>
          <w:lang w:val="en-AU"/>
        </w:rPr>
        <w:t>ing</w:t>
      </w:r>
      <w:r w:rsidR="00EF5713" w:rsidRPr="00385986">
        <w:rPr>
          <w:rFonts w:asciiTheme="minorHAnsi" w:hAnsiTheme="minorHAnsi" w:cstheme="minorHAnsi"/>
          <w:sz w:val="22"/>
          <w:szCs w:val="22"/>
          <w:lang w:val="en-AU"/>
        </w:rPr>
        <w:t xml:space="preserve"> optically stable room-temperature emitters across from the UV to infrared range</w:t>
      </w:r>
      <w:r w:rsidR="00120251" w:rsidRPr="00385986">
        <w:rPr>
          <w:rFonts w:asciiTheme="minorHAnsi" w:hAnsiTheme="minorHAnsi" w:cstheme="minorHAnsi"/>
          <w:sz w:val="22"/>
          <w:szCs w:val="22"/>
          <w:lang w:val="en-AU"/>
        </w:rPr>
        <w:t xml:space="preserve"> </w:t>
      </w:r>
      <w:r w:rsidR="00996BFE" w:rsidRPr="00385986">
        <w:rPr>
          <w:rFonts w:asciiTheme="minorHAnsi" w:hAnsiTheme="minorHAnsi" w:cstheme="minorHAnsi"/>
          <w:sz w:val="22"/>
          <w:szCs w:val="22"/>
          <w:lang w:val="en-AU"/>
        </w:rPr>
        <w:t xml:space="preserve">and </w:t>
      </w:r>
      <w:r w:rsidR="00120251" w:rsidRPr="00385986">
        <w:rPr>
          <w:rFonts w:asciiTheme="minorHAnsi" w:hAnsiTheme="minorHAnsi" w:cstheme="minorHAnsi"/>
          <w:sz w:val="22"/>
          <w:szCs w:val="22"/>
          <w:lang w:val="en-AU"/>
        </w:rPr>
        <w:t xml:space="preserve">having </w:t>
      </w:r>
      <w:r w:rsidR="00996BFE" w:rsidRPr="00385986">
        <w:rPr>
          <w:rFonts w:asciiTheme="minorHAnsi" w:hAnsiTheme="minorHAnsi" w:cstheme="minorHAnsi"/>
          <w:sz w:val="22"/>
          <w:szCs w:val="22"/>
          <w:lang w:val="en-AU"/>
        </w:rPr>
        <w:t xml:space="preserve">well-established growth </w:t>
      </w:r>
      <w:r w:rsidR="00875FC4" w:rsidRPr="00385986">
        <w:rPr>
          <w:rFonts w:asciiTheme="minorHAnsi" w:hAnsiTheme="minorHAnsi" w:cstheme="minorHAnsi"/>
          <w:sz w:val="22"/>
          <w:szCs w:val="22"/>
          <w:lang w:val="en-AU"/>
        </w:rPr>
        <w:t>and nanofabrication techniqu</w:t>
      </w:r>
      <w:r w:rsidR="00BE7962" w:rsidRPr="00385986">
        <w:rPr>
          <w:rFonts w:asciiTheme="minorHAnsi" w:hAnsiTheme="minorHAnsi" w:cstheme="minorHAnsi"/>
          <w:sz w:val="22"/>
          <w:szCs w:val="22"/>
          <w:lang w:val="en-AU"/>
        </w:rPr>
        <w:t>es</w:t>
      </w:r>
      <w:r w:rsidR="002D4D8D" w:rsidRPr="006770D3">
        <w:rPr>
          <w:rFonts w:asciiTheme="minorHAnsi" w:hAnsiTheme="minorHAnsi" w:cstheme="minorHAnsi"/>
          <w:sz w:val="22"/>
          <w:szCs w:val="22"/>
          <w:vertAlign w:val="superscript"/>
          <w:lang w:val="en-AU"/>
        </w:rPr>
        <w:t>1,2</w:t>
      </w:r>
      <w:r w:rsidR="00996BFE" w:rsidRPr="00385986">
        <w:rPr>
          <w:rFonts w:asciiTheme="minorHAnsi" w:hAnsiTheme="minorHAnsi" w:cstheme="minorHAnsi"/>
          <w:sz w:val="22"/>
          <w:szCs w:val="22"/>
          <w:lang w:val="en-AU"/>
        </w:rPr>
        <w:t>.</w:t>
      </w:r>
      <w:r w:rsidR="00120251" w:rsidRPr="00385986">
        <w:rPr>
          <w:rFonts w:asciiTheme="minorHAnsi" w:hAnsiTheme="minorHAnsi" w:cstheme="minorHAnsi"/>
          <w:sz w:val="22"/>
          <w:szCs w:val="22"/>
          <w:lang w:val="en-AU"/>
        </w:rPr>
        <w:t xml:space="preserve"> The origin of their emission however is unknown, thus we perform this study to explore how growth conditions and thus, microstructure of GaN matrices affect spatial and optical characteristics of SPEs</w:t>
      </w:r>
      <w:r w:rsidR="006770D3" w:rsidRPr="006770D3">
        <w:rPr>
          <w:rFonts w:asciiTheme="minorHAnsi" w:hAnsiTheme="minorHAnsi" w:cstheme="minorHAnsi"/>
          <w:sz w:val="22"/>
          <w:szCs w:val="22"/>
          <w:vertAlign w:val="superscript"/>
          <w:lang w:val="en-AU"/>
        </w:rPr>
        <w:t>3</w:t>
      </w:r>
      <w:r w:rsidR="00120251" w:rsidRPr="00385986">
        <w:rPr>
          <w:rFonts w:asciiTheme="minorHAnsi" w:hAnsiTheme="minorHAnsi" w:cstheme="minorHAnsi"/>
          <w:sz w:val="22"/>
          <w:szCs w:val="22"/>
          <w:lang w:val="en-AU"/>
        </w:rPr>
        <w:t>.</w:t>
      </w:r>
      <w:r w:rsidR="00996BFE" w:rsidRPr="00385986">
        <w:rPr>
          <w:rFonts w:asciiTheme="minorHAnsi" w:hAnsiTheme="minorHAnsi" w:cstheme="minorHAnsi"/>
          <w:sz w:val="22"/>
          <w:szCs w:val="22"/>
          <w:lang w:val="en-AU"/>
        </w:rPr>
        <w:t xml:space="preserve">  </w:t>
      </w:r>
    </w:p>
    <w:p w14:paraId="02643439" w14:textId="29C53911" w:rsidR="00045573" w:rsidRPr="00385986" w:rsidRDefault="00045573" w:rsidP="00711813">
      <w:pPr>
        <w:jc w:val="both"/>
        <w:rPr>
          <w:rFonts w:asciiTheme="minorHAnsi" w:hAnsiTheme="minorHAnsi" w:cstheme="minorHAnsi"/>
          <w:sz w:val="22"/>
          <w:szCs w:val="22"/>
          <w:lang w:val="en-AU"/>
        </w:rPr>
      </w:pPr>
    </w:p>
    <w:p w14:paraId="70330504" w14:textId="20DC76A4" w:rsidR="00711813" w:rsidRPr="00385986" w:rsidRDefault="00711813" w:rsidP="00711813">
      <w:pPr>
        <w:jc w:val="both"/>
        <w:rPr>
          <w:rFonts w:asciiTheme="minorHAnsi" w:hAnsiTheme="minorHAnsi" w:cstheme="minorHAnsi"/>
          <w:b/>
          <w:szCs w:val="22"/>
          <w:lang w:val="en-AU"/>
        </w:rPr>
      </w:pPr>
      <w:r w:rsidRPr="00385986">
        <w:rPr>
          <w:rFonts w:asciiTheme="minorHAnsi" w:hAnsiTheme="minorHAnsi" w:cstheme="minorHAnsi"/>
          <w:b/>
          <w:szCs w:val="22"/>
          <w:lang w:val="en-AU"/>
        </w:rPr>
        <w:t>Methods</w:t>
      </w:r>
      <w:r w:rsidR="00571731" w:rsidRPr="00385986">
        <w:rPr>
          <w:rFonts w:asciiTheme="minorHAnsi" w:hAnsiTheme="minorHAnsi" w:cstheme="minorHAnsi"/>
          <w:b/>
          <w:szCs w:val="22"/>
          <w:lang w:val="en-AU"/>
        </w:rPr>
        <w:t xml:space="preserve"> </w:t>
      </w:r>
      <w:r w:rsidR="0012770A">
        <w:rPr>
          <w:rFonts w:asciiTheme="minorHAnsi" w:hAnsiTheme="minorHAnsi" w:cstheme="minorHAnsi"/>
          <w:b/>
          <w:szCs w:val="22"/>
          <w:lang w:val="en-AU"/>
        </w:rPr>
        <w:t>&amp;</w:t>
      </w:r>
      <w:r w:rsidR="00571731" w:rsidRPr="00385986">
        <w:rPr>
          <w:rFonts w:asciiTheme="minorHAnsi" w:hAnsiTheme="minorHAnsi" w:cstheme="minorHAnsi"/>
          <w:b/>
          <w:szCs w:val="22"/>
          <w:lang w:val="en-AU"/>
        </w:rPr>
        <w:t xml:space="preserve"> Materials</w:t>
      </w:r>
    </w:p>
    <w:p w14:paraId="1D47E0C8" w14:textId="4F0239E1" w:rsidR="00E428D8" w:rsidRPr="00385986" w:rsidRDefault="00120251" w:rsidP="00711813">
      <w:pPr>
        <w:jc w:val="both"/>
        <w:rPr>
          <w:rFonts w:asciiTheme="minorHAnsi" w:hAnsiTheme="minorHAnsi" w:cstheme="minorHAnsi"/>
          <w:sz w:val="22"/>
          <w:szCs w:val="22"/>
          <w:lang w:val="en-AU"/>
        </w:rPr>
      </w:pPr>
      <w:r w:rsidRPr="00385986">
        <w:rPr>
          <w:rFonts w:asciiTheme="minorHAnsi" w:hAnsiTheme="minorHAnsi" w:cstheme="minorHAnsi"/>
          <w:sz w:val="22"/>
          <w:szCs w:val="22"/>
          <w:lang w:val="en-AU"/>
        </w:rPr>
        <w:t xml:space="preserve">Synthesis of the GaN samples </w:t>
      </w:r>
      <w:r w:rsidR="00464BF6" w:rsidRPr="00385986">
        <w:rPr>
          <w:rFonts w:asciiTheme="minorHAnsi" w:hAnsiTheme="minorHAnsi" w:cstheme="minorHAnsi"/>
          <w:sz w:val="22"/>
          <w:szCs w:val="22"/>
          <w:lang w:val="en-AU"/>
        </w:rPr>
        <w:t>were</w:t>
      </w:r>
      <w:r w:rsidRPr="00385986">
        <w:rPr>
          <w:rFonts w:asciiTheme="minorHAnsi" w:hAnsiTheme="minorHAnsi" w:cstheme="minorHAnsi"/>
          <w:sz w:val="22"/>
          <w:szCs w:val="22"/>
          <w:lang w:val="en-AU"/>
        </w:rPr>
        <w:t xml:space="preserve"> performed using varying methods of metal-organic vapour phase epitaxy on substrates of sapphire and silicon</w:t>
      </w:r>
      <w:r w:rsidR="00464BF6" w:rsidRPr="00385986">
        <w:rPr>
          <w:rFonts w:asciiTheme="minorHAnsi" w:hAnsiTheme="minorHAnsi" w:cstheme="minorHAnsi"/>
          <w:sz w:val="22"/>
          <w:szCs w:val="22"/>
          <w:lang w:val="en-AU"/>
        </w:rPr>
        <w:t xml:space="preserve">. </w:t>
      </w:r>
      <w:r w:rsidRPr="00385986">
        <w:rPr>
          <w:rFonts w:asciiTheme="minorHAnsi" w:hAnsiTheme="minorHAnsi" w:cstheme="minorHAnsi"/>
          <w:sz w:val="22"/>
          <w:szCs w:val="22"/>
          <w:lang w:val="en-AU"/>
        </w:rPr>
        <w:t xml:space="preserve">Optical characterisation was performed on a lab-built confocal microscope with 532 nm CW excitation, with measurements including spectra and second order autocorrelation measurements. </w:t>
      </w:r>
      <w:r w:rsidR="004F288E" w:rsidRPr="00385986">
        <w:rPr>
          <w:rFonts w:asciiTheme="minorHAnsi" w:hAnsiTheme="minorHAnsi" w:cstheme="minorHAnsi"/>
          <w:sz w:val="22"/>
          <w:szCs w:val="22"/>
          <w:lang w:val="en-AU"/>
        </w:rPr>
        <w:t xml:space="preserve">Atomic force and </w:t>
      </w:r>
      <w:r w:rsidR="0012770A">
        <w:rPr>
          <w:rFonts w:asciiTheme="minorHAnsi" w:hAnsiTheme="minorHAnsi" w:cstheme="minorHAnsi"/>
          <w:sz w:val="22"/>
          <w:szCs w:val="22"/>
          <w:lang w:val="en-AU"/>
        </w:rPr>
        <w:t>c</w:t>
      </w:r>
      <w:r w:rsidR="004F288E" w:rsidRPr="00385986">
        <w:rPr>
          <w:rFonts w:asciiTheme="minorHAnsi" w:hAnsiTheme="minorHAnsi" w:cstheme="minorHAnsi"/>
          <w:sz w:val="22"/>
          <w:szCs w:val="22"/>
          <w:lang w:val="en-AU"/>
        </w:rPr>
        <w:t>athodoluminescence microscopy (AFM and CL)</w:t>
      </w:r>
      <w:r w:rsidR="005A5E31" w:rsidRPr="00385986">
        <w:rPr>
          <w:rFonts w:asciiTheme="minorHAnsi" w:hAnsiTheme="minorHAnsi" w:cstheme="minorHAnsi"/>
          <w:sz w:val="22"/>
          <w:szCs w:val="22"/>
          <w:lang w:val="en-AU"/>
        </w:rPr>
        <w:t xml:space="preserve"> analysis were used for spatial</w:t>
      </w:r>
      <w:r w:rsidR="00E428D8" w:rsidRPr="00385986">
        <w:rPr>
          <w:rFonts w:asciiTheme="minorHAnsi" w:hAnsiTheme="minorHAnsi" w:cstheme="minorHAnsi"/>
          <w:sz w:val="22"/>
          <w:szCs w:val="22"/>
          <w:lang w:val="en-AU"/>
        </w:rPr>
        <w:t xml:space="preserve"> characterisation</w:t>
      </w:r>
      <w:r w:rsidR="005A5E31" w:rsidRPr="00385986">
        <w:rPr>
          <w:rFonts w:asciiTheme="minorHAnsi" w:hAnsiTheme="minorHAnsi" w:cstheme="minorHAnsi"/>
          <w:sz w:val="22"/>
          <w:szCs w:val="22"/>
          <w:lang w:val="en-AU"/>
        </w:rPr>
        <w:t xml:space="preserve"> of the emitters</w:t>
      </w:r>
      <w:r w:rsidR="00E428D8" w:rsidRPr="00385986">
        <w:rPr>
          <w:rFonts w:asciiTheme="minorHAnsi" w:hAnsiTheme="minorHAnsi" w:cstheme="minorHAnsi"/>
          <w:sz w:val="22"/>
          <w:szCs w:val="22"/>
          <w:lang w:val="en-AU"/>
        </w:rPr>
        <w:t xml:space="preserve">. </w:t>
      </w:r>
    </w:p>
    <w:p w14:paraId="70546230" w14:textId="1980D8C2" w:rsidR="00045573" w:rsidRPr="00385986" w:rsidRDefault="00045573" w:rsidP="00711813">
      <w:pPr>
        <w:jc w:val="both"/>
        <w:rPr>
          <w:rFonts w:asciiTheme="minorHAnsi" w:hAnsiTheme="minorHAnsi" w:cstheme="minorHAnsi"/>
          <w:sz w:val="22"/>
          <w:szCs w:val="22"/>
          <w:lang w:val="en-AU"/>
        </w:rPr>
      </w:pPr>
    </w:p>
    <w:p w14:paraId="7047AF77" w14:textId="315369F5" w:rsidR="00711813" w:rsidRPr="00385986" w:rsidRDefault="00711813" w:rsidP="00711813">
      <w:pPr>
        <w:jc w:val="both"/>
        <w:rPr>
          <w:rFonts w:asciiTheme="minorHAnsi" w:hAnsiTheme="minorHAnsi" w:cstheme="minorHAnsi"/>
          <w:b/>
          <w:szCs w:val="22"/>
          <w:lang w:val="en-AU"/>
        </w:rPr>
      </w:pPr>
      <w:r w:rsidRPr="00385986">
        <w:rPr>
          <w:rFonts w:asciiTheme="minorHAnsi" w:hAnsiTheme="minorHAnsi" w:cstheme="minorHAnsi"/>
          <w:b/>
          <w:szCs w:val="22"/>
          <w:lang w:val="en-AU"/>
        </w:rPr>
        <w:t>Results</w:t>
      </w:r>
      <w:r w:rsidR="00571731" w:rsidRPr="00385986">
        <w:rPr>
          <w:rFonts w:asciiTheme="minorHAnsi" w:hAnsiTheme="minorHAnsi" w:cstheme="minorHAnsi"/>
          <w:b/>
          <w:szCs w:val="22"/>
          <w:lang w:val="en-AU"/>
        </w:rPr>
        <w:t xml:space="preserve"> </w:t>
      </w:r>
      <w:r w:rsidR="00385986">
        <w:rPr>
          <w:rFonts w:asciiTheme="minorHAnsi" w:hAnsiTheme="minorHAnsi" w:cstheme="minorHAnsi"/>
          <w:b/>
          <w:szCs w:val="22"/>
          <w:lang w:val="en-AU"/>
        </w:rPr>
        <w:t>&amp;</w:t>
      </w:r>
      <w:r w:rsidR="00571731" w:rsidRPr="00385986">
        <w:rPr>
          <w:rFonts w:asciiTheme="minorHAnsi" w:hAnsiTheme="minorHAnsi" w:cstheme="minorHAnsi"/>
          <w:b/>
          <w:szCs w:val="22"/>
          <w:lang w:val="en-AU"/>
        </w:rPr>
        <w:t xml:space="preserve"> Discussion</w:t>
      </w:r>
    </w:p>
    <w:p w14:paraId="3D0BD353" w14:textId="2F89D37C" w:rsidR="00EF12F3" w:rsidRPr="00385986" w:rsidRDefault="00BE7962" w:rsidP="00F84226">
      <w:pPr>
        <w:jc w:val="both"/>
        <w:rPr>
          <w:rFonts w:asciiTheme="minorHAnsi" w:hAnsiTheme="minorHAnsi" w:cstheme="minorHAnsi"/>
          <w:sz w:val="22"/>
          <w:szCs w:val="22"/>
          <w:lang w:val="en-AU"/>
        </w:rPr>
      </w:pPr>
      <w:r w:rsidRPr="00385986">
        <w:rPr>
          <w:rFonts w:asciiTheme="minorHAnsi" w:hAnsiTheme="minorHAnsi" w:cstheme="minorHAnsi"/>
          <w:sz w:val="22"/>
          <w:szCs w:val="22"/>
          <w:lang w:val="en-AU"/>
        </w:rPr>
        <w:t>Eight</w:t>
      </w:r>
      <w:r w:rsidR="00E0088B" w:rsidRPr="00385986">
        <w:rPr>
          <w:rFonts w:asciiTheme="minorHAnsi" w:hAnsiTheme="minorHAnsi" w:cstheme="minorHAnsi"/>
          <w:sz w:val="22"/>
          <w:szCs w:val="22"/>
          <w:lang w:val="en-AU"/>
        </w:rPr>
        <w:t xml:space="preserve"> GaN samples</w:t>
      </w:r>
      <w:r w:rsidRPr="00385986">
        <w:rPr>
          <w:rFonts w:asciiTheme="minorHAnsi" w:hAnsiTheme="minorHAnsi" w:cstheme="minorHAnsi"/>
          <w:sz w:val="22"/>
          <w:szCs w:val="22"/>
          <w:lang w:val="en-AU"/>
        </w:rPr>
        <w:t xml:space="preserve"> were</w:t>
      </w:r>
      <w:r w:rsidR="00E0088B" w:rsidRPr="00385986">
        <w:rPr>
          <w:rFonts w:asciiTheme="minorHAnsi" w:hAnsiTheme="minorHAnsi" w:cstheme="minorHAnsi"/>
          <w:sz w:val="22"/>
          <w:szCs w:val="22"/>
          <w:lang w:val="en-AU"/>
        </w:rPr>
        <w:t xml:space="preserve"> grown and tailored to explore how different growth parameters</w:t>
      </w:r>
      <w:r w:rsidRPr="00385986">
        <w:rPr>
          <w:rFonts w:asciiTheme="minorHAnsi" w:hAnsiTheme="minorHAnsi" w:cstheme="minorHAnsi"/>
          <w:sz w:val="22"/>
          <w:szCs w:val="22"/>
          <w:lang w:val="en-AU"/>
        </w:rPr>
        <w:t xml:space="preserve"> </w:t>
      </w:r>
      <w:r w:rsidR="00E0088B" w:rsidRPr="00385986">
        <w:rPr>
          <w:rFonts w:asciiTheme="minorHAnsi" w:hAnsiTheme="minorHAnsi" w:cstheme="minorHAnsi"/>
          <w:sz w:val="22"/>
          <w:szCs w:val="22"/>
          <w:lang w:val="en-AU"/>
        </w:rPr>
        <w:t>would have on the formation of hosted q</w:t>
      </w:r>
      <w:r w:rsidR="000D4F9C" w:rsidRPr="00385986">
        <w:rPr>
          <w:rFonts w:asciiTheme="minorHAnsi" w:hAnsiTheme="minorHAnsi" w:cstheme="minorHAnsi"/>
          <w:sz w:val="22"/>
          <w:szCs w:val="22"/>
          <w:lang w:val="en-AU"/>
        </w:rPr>
        <w:t>uantum emitters</w:t>
      </w:r>
      <w:r w:rsidRPr="00385986">
        <w:rPr>
          <w:rFonts w:asciiTheme="minorHAnsi" w:hAnsiTheme="minorHAnsi" w:cstheme="minorHAnsi"/>
          <w:sz w:val="22"/>
          <w:szCs w:val="22"/>
          <w:lang w:val="en-AU"/>
        </w:rPr>
        <w:t>–that is; dislocation density, growth substrate, growth orientation, and doping of extrinsic impurities</w:t>
      </w:r>
      <w:r w:rsidR="00A23197" w:rsidRPr="00385986">
        <w:rPr>
          <w:rFonts w:asciiTheme="minorHAnsi" w:hAnsiTheme="minorHAnsi" w:cstheme="minorHAnsi"/>
          <w:sz w:val="22"/>
          <w:szCs w:val="22"/>
          <w:lang w:val="en-AU"/>
        </w:rPr>
        <w:t>. PL characterisation reveals a wide range of ZPL energies spanning 560 – 750 nm, from samples with; low and high dislocation density, Fe-doped, and semi-polar growth direction.</w:t>
      </w:r>
      <w:r w:rsidR="002507FD">
        <w:rPr>
          <w:rFonts w:asciiTheme="minorHAnsi" w:hAnsiTheme="minorHAnsi" w:cstheme="minorHAnsi"/>
          <w:sz w:val="22"/>
          <w:szCs w:val="22"/>
          <w:lang w:val="en-AU"/>
        </w:rPr>
        <w:t xml:space="preserve"> A typical spectra is shown in </w:t>
      </w:r>
      <w:r w:rsidR="002507FD" w:rsidRPr="002507FD">
        <w:rPr>
          <w:rFonts w:asciiTheme="minorHAnsi" w:hAnsiTheme="minorHAnsi" w:cstheme="minorHAnsi"/>
          <w:b/>
          <w:bCs/>
          <w:sz w:val="22"/>
          <w:szCs w:val="22"/>
          <w:lang w:val="en-AU"/>
        </w:rPr>
        <w:t>Fig. 1a</w:t>
      </w:r>
      <w:r w:rsidR="00CD1E07">
        <w:rPr>
          <w:rFonts w:asciiTheme="minorHAnsi" w:hAnsiTheme="minorHAnsi" w:cstheme="minorHAnsi"/>
          <w:b/>
          <w:bCs/>
          <w:sz w:val="22"/>
          <w:szCs w:val="22"/>
          <w:lang w:val="en-AU"/>
        </w:rPr>
        <w:t xml:space="preserve"> </w:t>
      </w:r>
      <w:r w:rsidR="00CD1E07">
        <w:rPr>
          <w:rFonts w:asciiTheme="minorHAnsi" w:hAnsiTheme="minorHAnsi" w:cstheme="minorHAnsi"/>
          <w:sz w:val="22"/>
          <w:szCs w:val="22"/>
          <w:lang w:val="en-AU"/>
        </w:rPr>
        <w:t>along with its corresponding second-order autocorrelation function confirming its SPE nature (</w:t>
      </w:r>
      <w:r w:rsidR="00CD1E07" w:rsidRPr="00CD1E07">
        <w:rPr>
          <w:rFonts w:asciiTheme="minorHAnsi" w:hAnsiTheme="minorHAnsi" w:cstheme="minorHAnsi"/>
          <w:b/>
          <w:bCs/>
          <w:sz w:val="22"/>
          <w:szCs w:val="22"/>
          <w:lang w:val="en-AU"/>
        </w:rPr>
        <w:t>Fig. 1b</w:t>
      </w:r>
      <w:r w:rsidR="00CD1E07">
        <w:rPr>
          <w:rFonts w:asciiTheme="minorHAnsi" w:hAnsiTheme="minorHAnsi" w:cstheme="minorHAnsi"/>
          <w:sz w:val="22"/>
          <w:szCs w:val="22"/>
          <w:lang w:val="en-AU"/>
        </w:rPr>
        <w:t>)</w:t>
      </w:r>
      <w:r w:rsidR="002507FD">
        <w:rPr>
          <w:rFonts w:asciiTheme="minorHAnsi" w:hAnsiTheme="minorHAnsi" w:cstheme="minorHAnsi"/>
          <w:sz w:val="22"/>
          <w:szCs w:val="22"/>
          <w:lang w:val="en-AU"/>
        </w:rPr>
        <w:t>.</w:t>
      </w:r>
      <w:r w:rsidR="00A23197" w:rsidRPr="00385986">
        <w:rPr>
          <w:rFonts w:asciiTheme="minorHAnsi" w:hAnsiTheme="minorHAnsi" w:cstheme="minorHAnsi"/>
          <w:sz w:val="22"/>
          <w:szCs w:val="22"/>
          <w:lang w:val="en-AU"/>
        </w:rPr>
        <w:t xml:space="preserve"> </w:t>
      </w:r>
      <w:r w:rsidR="00E428D8" w:rsidRPr="00385986">
        <w:rPr>
          <w:rFonts w:asciiTheme="minorHAnsi" w:hAnsiTheme="minorHAnsi" w:cstheme="minorHAnsi"/>
          <w:sz w:val="22"/>
          <w:szCs w:val="22"/>
          <w:lang w:val="en-AU"/>
        </w:rPr>
        <w:t xml:space="preserve">Spatial characterisation involved the correlation between </w:t>
      </w:r>
      <w:r w:rsidR="005A5E31" w:rsidRPr="00385986">
        <w:rPr>
          <w:rFonts w:asciiTheme="minorHAnsi" w:hAnsiTheme="minorHAnsi" w:cstheme="minorHAnsi"/>
          <w:sz w:val="22"/>
          <w:szCs w:val="22"/>
          <w:lang w:val="en-AU"/>
        </w:rPr>
        <w:t>surface-terminating threading dislocations from AFM and emitter positions in PL and CL within a well-defined region of interest</w:t>
      </w:r>
      <w:r w:rsidR="00CD1E07">
        <w:rPr>
          <w:rFonts w:asciiTheme="minorHAnsi" w:hAnsiTheme="minorHAnsi" w:cstheme="minorHAnsi"/>
          <w:sz w:val="22"/>
          <w:szCs w:val="22"/>
          <w:lang w:val="en-AU"/>
        </w:rPr>
        <w:t xml:space="preserve"> (</w:t>
      </w:r>
      <w:r w:rsidR="00CD1E07" w:rsidRPr="00CD1E07">
        <w:rPr>
          <w:rFonts w:asciiTheme="minorHAnsi" w:hAnsiTheme="minorHAnsi" w:cstheme="minorHAnsi"/>
          <w:b/>
          <w:bCs/>
          <w:sz w:val="22"/>
          <w:szCs w:val="22"/>
          <w:lang w:val="en-AU"/>
        </w:rPr>
        <w:t>Fig. 1c</w:t>
      </w:r>
      <w:r w:rsidR="00CD1E07">
        <w:rPr>
          <w:rFonts w:asciiTheme="minorHAnsi" w:hAnsiTheme="minorHAnsi" w:cstheme="minorHAnsi"/>
          <w:sz w:val="22"/>
          <w:szCs w:val="22"/>
          <w:lang w:val="en-AU"/>
        </w:rPr>
        <w:t>)</w:t>
      </w:r>
      <w:r w:rsidR="00B34BCF" w:rsidRPr="00385986">
        <w:rPr>
          <w:rFonts w:asciiTheme="minorHAnsi" w:hAnsiTheme="minorHAnsi" w:cstheme="minorHAnsi"/>
          <w:sz w:val="22"/>
          <w:szCs w:val="22"/>
          <w:lang w:val="en-AU"/>
        </w:rPr>
        <w:t xml:space="preserve">. Although there is no observable correlation between dislocation and emitter positions, there is a correlation between emitter </w:t>
      </w:r>
      <w:r w:rsidR="00993AC4" w:rsidRPr="00385986">
        <w:rPr>
          <w:rFonts w:asciiTheme="minorHAnsi" w:hAnsiTheme="minorHAnsi" w:cstheme="minorHAnsi"/>
          <w:sz w:val="22"/>
          <w:szCs w:val="22"/>
          <w:lang w:val="en-AU"/>
        </w:rPr>
        <w:t>density and dislocation density</w:t>
      </w:r>
      <w:r w:rsidR="00B34BCF" w:rsidRPr="00385986">
        <w:rPr>
          <w:rFonts w:asciiTheme="minorHAnsi" w:hAnsiTheme="minorHAnsi" w:cstheme="minorHAnsi"/>
          <w:sz w:val="22"/>
          <w:szCs w:val="22"/>
          <w:lang w:val="en-AU"/>
        </w:rPr>
        <w:t xml:space="preserve">–hinting at the potential role of intrinsic impurities or point defects as the SPE origin. </w:t>
      </w:r>
      <w:r w:rsidR="000D4F9C" w:rsidRPr="00385986">
        <w:rPr>
          <w:rFonts w:asciiTheme="minorHAnsi" w:hAnsiTheme="minorHAnsi" w:cstheme="minorHAnsi"/>
          <w:sz w:val="22"/>
          <w:szCs w:val="22"/>
          <w:lang w:val="en-AU"/>
        </w:rPr>
        <w:t xml:space="preserve"> </w:t>
      </w:r>
    </w:p>
    <w:p w14:paraId="5C54750C" w14:textId="59380B89" w:rsidR="00875FC4" w:rsidRPr="00385986" w:rsidRDefault="004C02FC" w:rsidP="00744DF2">
      <w:pPr>
        <w:keepNext/>
        <w:jc w:val="center"/>
        <w:rPr>
          <w:rFonts w:asciiTheme="minorHAnsi" w:hAnsiTheme="minorHAnsi" w:cstheme="minorHAnsi"/>
        </w:rPr>
      </w:pPr>
      <w:r>
        <w:rPr>
          <w:rFonts w:asciiTheme="minorHAnsi" w:hAnsiTheme="minorHAnsi" w:cstheme="minorHAnsi"/>
          <w:noProof/>
          <w:lang w:val="en-AU" w:eastAsia="en-AU"/>
        </w:rPr>
        <w:drawing>
          <wp:inline distT="0" distB="0" distL="0" distR="0" wp14:anchorId="52742B94" wp14:editId="0BD2DD78">
            <wp:extent cx="4829175" cy="1955741"/>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3876" cy="1973844"/>
                    </a:xfrm>
                    <a:prstGeom prst="rect">
                      <a:avLst/>
                    </a:prstGeom>
                    <a:noFill/>
                    <a:ln>
                      <a:noFill/>
                    </a:ln>
                  </pic:spPr>
                </pic:pic>
              </a:graphicData>
            </a:graphic>
          </wp:inline>
        </w:drawing>
      </w:r>
    </w:p>
    <w:p w14:paraId="09E5E399" w14:textId="65487ECD" w:rsidR="00485F5C" w:rsidRPr="00385986" w:rsidRDefault="00875FC4" w:rsidP="00485F5C">
      <w:pPr>
        <w:pStyle w:val="Caption"/>
        <w:jc w:val="both"/>
        <w:rPr>
          <w:rFonts w:asciiTheme="minorHAnsi" w:hAnsiTheme="minorHAnsi" w:cstheme="minorHAnsi"/>
          <w:sz w:val="22"/>
          <w:szCs w:val="22"/>
        </w:rPr>
      </w:pPr>
      <w:r w:rsidRPr="00D04D45">
        <w:rPr>
          <w:rFonts w:asciiTheme="minorHAnsi" w:hAnsiTheme="minorHAnsi" w:cstheme="minorHAnsi"/>
          <w:b/>
          <w:i w:val="0"/>
          <w:color w:val="auto"/>
          <w:sz w:val="22"/>
        </w:rPr>
        <w:t xml:space="preserve">Figure </w:t>
      </w:r>
      <w:r w:rsidRPr="00D04D45">
        <w:rPr>
          <w:rFonts w:asciiTheme="minorHAnsi" w:hAnsiTheme="minorHAnsi" w:cstheme="minorHAnsi"/>
          <w:b/>
          <w:i w:val="0"/>
          <w:color w:val="auto"/>
          <w:sz w:val="22"/>
        </w:rPr>
        <w:fldChar w:fldCharType="begin"/>
      </w:r>
      <w:r w:rsidRPr="00D04D45">
        <w:rPr>
          <w:rFonts w:asciiTheme="minorHAnsi" w:hAnsiTheme="minorHAnsi" w:cstheme="minorHAnsi"/>
          <w:b/>
          <w:i w:val="0"/>
          <w:color w:val="auto"/>
          <w:sz w:val="22"/>
        </w:rPr>
        <w:instrText xml:space="preserve"> SEQ Figure \* ARABIC </w:instrText>
      </w:r>
      <w:r w:rsidRPr="00D04D45">
        <w:rPr>
          <w:rFonts w:asciiTheme="minorHAnsi" w:hAnsiTheme="minorHAnsi" w:cstheme="minorHAnsi"/>
          <w:b/>
          <w:i w:val="0"/>
          <w:color w:val="auto"/>
          <w:sz w:val="22"/>
        </w:rPr>
        <w:fldChar w:fldCharType="separate"/>
      </w:r>
      <w:r w:rsidRPr="00D04D45">
        <w:rPr>
          <w:rFonts w:asciiTheme="minorHAnsi" w:hAnsiTheme="minorHAnsi" w:cstheme="minorHAnsi"/>
          <w:b/>
          <w:i w:val="0"/>
          <w:noProof/>
          <w:color w:val="auto"/>
          <w:sz w:val="22"/>
        </w:rPr>
        <w:t>1</w:t>
      </w:r>
      <w:r w:rsidRPr="00D04D45">
        <w:rPr>
          <w:rFonts w:asciiTheme="minorHAnsi" w:hAnsiTheme="minorHAnsi" w:cstheme="minorHAnsi"/>
          <w:b/>
          <w:i w:val="0"/>
          <w:color w:val="auto"/>
          <w:sz w:val="22"/>
        </w:rPr>
        <w:fldChar w:fldCharType="end"/>
      </w:r>
      <w:r w:rsidRPr="00D04D45">
        <w:rPr>
          <w:rFonts w:asciiTheme="minorHAnsi" w:hAnsiTheme="minorHAnsi" w:cstheme="minorHAnsi"/>
          <w:b/>
          <w:i w:val="0"/>
          <w:color w:val="auto"/>
          <w:sz w:val="22"/>
        </w:rPr>
        <w:t>.</w:t>
      </w:r>
      <w:r w:rsidRPr="00D04D45">
        <w:rPr>
          <w:rFonts w:asciiTheme="minorHAnsi" w:hAnsiTheme="minorHAnsi" w:cstheme="minorHAnsi"/>
          <w:i w:val="0"/>
          <w:color w:val="auto"/>
          <w:sz w:val="22"/>
        </w:rPr>
        <w:t xml:space="preserve"> a) </w:t>
      </w:r>
      <w:r w:rsidR="004C02FC">
        <w:rPr>
          <w:rFonts w:asciiTheme="minorHAnsi" w:hAnsiTheme="minorHAnsi" w:cstheme="minorHAnsi"/>
          <w:i w:val="0"/>
          <w:color w:val="auto"/>
          <w:sz w:val="22"/>
        </w:rPr>
        <w:t>Typical spectra of GaN SPEs with b) its corresponding second-order autocorrelation function</w:t>
      </w:r>
      <w:r w:rsidRPr="00D04D45">
        <w:rPr>
          <w:rFonts w:asciiTheme="minorHAnsi" w:hAnsiTheme="minorHAnsi" w:cstheme="minorHAnsi"/>
          <w:i w:val="0"/>
          <w:color w:val="auto"/>
          <w:sz w:val="22"/>
        </w:rPr>
        <w:t xml:space="preserve">. </w:t>
      </w:r>
      <w:r w:rsidR="004C02FC">
        <w:rPr>
          <w:rFonts w:asciiTheme="minorHAnsi" w:hAnsiTheme="minorHAnsi" w:cstheme="minorHAnsi"/>
          <w:i w:val="0"/>
          <w:color w:val="auto"/>
          <w:sz w:val="22"/>
        </w:rPr>
        <w:t>c</w:t>
      </w:r>
      <w:r w:rsidRPr="00D04D45">
        <w:rPr>
          <w:rFonts w:asciiTheme="minorHAnsi" w:hAnsiTheme="minorHAnsi" w:cstheme="minorHAnsi"/>
          <w:i w:val="0"/>
          <w:color w:val="auto"/>
          <w:sz w:val="22"/>
        </w:rPr>
        <w:t xml:space="preserve">) Overlay of panchromatic CL (black), PL (red), and AFM (blue) emitter positions. </w:t>
      </w:r>
    </w:p>
    <w:p w14:paraId="193725D9" w14:textId="012EF871"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0308D1AD" w14:textId="25CD1AA3" w:rsidR="002D4D8D" w:rsidRDefault="002D4D8D"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Berhane, A.M.; et. al. </w:t>
      </w:r>
      <w:r w:rsidRPr="002D4D8D">
        <w:rPr>
          <w:rFonts w:asciiTheme="minorHAnsi" w:hAnsiTheme="minorHAnsi" w:cstheme="minorHAnsi"/>
          <w:i/>
          <w:iCs/>
          <w:sz w:val="22"/>
          <w:szCs w:val="22"/>
          <w:lang w:eastAsia="en-AU"/>
        </w:rPr>
        <w:t>Adv. Mater</w:t>
      </w:r>
      <w:r>
        <w:rPr>
          <w:rFonts w:asciiTheme="minorHAnsi" w:hAnsiTheme="minorHAnsi" w:cstheme="minorHAnsi"/>
          <w:sz w:val="22"/>
          <w:szCs w:val="22"/>
          <w:lang w:eastAsia="en-AU"/>
        </w:rPr>
        <w:t xml:space="preserve">. </w:t>
      </w:r>
      <w:r>
        <w:rPr>
          <w:rFonts w:asciiTheme="minorHAnsi" w:hAnsiTheme="minorHAnsi" w:cstheme="minorHAnsi"/>
          <w:b/>
          <w:bCs/>
          <w:sz w:val="22"/>
          <w:szCs w:val="22"/>
          <w:lang w:eastAsia="en-AU"/>
        </w:rPr>
        <w:t>2017</w:t>
      </w:r>
      <w:r>
        <w:rPr>
          <w:rFonts w:asciiTheme="minorHAnsi" w:hAnsiTheme="minorHAnsi" w:cstheme="minorHAnsi"/>
          <w:sz w:val="22"/>
          <w:szCs w:val="22"/>
          <w:lang w:eastAsia="en-AU"/>
        </w:rPr>
        <w:t>, 29(12), 1605092</w:t>
      </w:r>
    </w:p>
    <w:p w14:paraId="68121AF2" w14:textId="10FFDA20" w:rsidR="00DC0ABB" w:rsidRDefault="002D4D8D"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Pr>
          <w:rFonts w:asciiTheme="minorHAnsi" w:hAnsiTheme="minorHAnsi" w:cstheme="minorHAnsi"/>
          <w:sz w:val="22"/>
          <w:szCs w:val="22"/>
          <w:lang w:eastAsia="en-AU"/>
        </w:rPr>
        <w:t xml:space="preserve">Denis, A.; Goglio, G.; et. al. </w:t>
      </w:r>
      <w:r w:rsidRPr="002D4D8D">
        <w:rPr>
          <w:rFonts w:asciiTheme="minorHAnsi" w:hAnsiTheme="minorHAnsi" w:cstheme="minorHAnsi"/>
          <w:i/>
          <w:iCs/>
          <w:sz w:val="22"/>
          <w:szCs w:val="22"/>
          <w:lang w:eastAsia="en-AU"/>
        </w:rPr>
        <w:t>Mater. Sci. Eng</w:t>
      </w:r>
      <w:r>
        <w:rPr>
          <w:rFonts w:asciiTheme="minorHAnsi" w:hAnsiTheme="minorHAnsi" w:cstheme="minorHAnsi"/>
          <w:sz w:val="22"/>
          <w:szCs w:val="22"/>
          <w:lang w:eastAsia="en-AU"/>
        </w:rPr>
        <w:t xml:space="preserve">., </w:t>
      </w:r>
      <w:r>
        <w:rPr>
          <w:rFonts w:asciiTheme="minorHAnsi" w:hAnsiTheme="minorHAnsi" w:cstheme="minorHAnsi"/>
          <w:b/>
          <w:bCs/>
          <w:sz w:val="22"/>
          <w:szCs w:val="22"/>
          <w:lang w:eastAsia="en-AU"/>
        </w:rPr>
        <w:t>200</w:t>
      </w:r>
      <w:r w:rsidRPr="002D4D8D">
        <w:rPr>
          <w:rFonts w:asciiTheme="minorHAnsi" w:hAnsiTheme="minorHAnsi" w:cstheme="minorHAnsi"/>
          <w:b/>
          <w:bCs/>
          <w:sz w:val="22"/>
          <w:szCs w:val="22"/>
          <w:lang w:eastAsia="en-AU"/>
        </w:rPr>
        <w:t>6</w:t>
      </w:r>
      <w:r>
        <w:rPr>
          <w:rFonts w:asciiTheme="minorHAnsi" w:hAnsiTheme="minorHAnsi" w:cstheme="minorHAnsi"/>
          <w:sz w:val="22"/>
          <w:szCs w:val="22"/>
          <w:lang w:eastAsia="en-AU"/>
        </w:rPr>
        <w:t>, 50, 167-194</w:t>
      </w:r>
    </w:p>
    <w:p w14:paraId="19A0A76F" w14:textId="425FC6AE" w:rsidR="00F97620" w:rsidRPr="0008139B" w:rsidRDefault="0048373F" w:rsidP="006E06B2">
      <w:pPr>
        <w:numPr>
          <w:ilvl w:val="0"/>
          <w:numId w:val="1"/>
        </w:numPr>
        <w:shd w:val="clear" w:color="auto" w:fill="FFFFFF"/>
        <w:ind w:left="284" w:hanging="284"/>
        <w:jc w:val="both"/>
        <w:textAlignment w:val="top"/>
        <w:rPr>
          <w:rFonts w:ascii="Calibri" w:hAnsi="Calibri" w:cs="Calibri"/>
          <w:sz w:val="22"/>
          <w:szCs w:val="22"/>
          <w:lang w:val="en-AU"/>
        </w:rPr>
      </w:pPr>
      <w:r w:rsidRPr="0048373F">
        <w:rPr>
          <w:rFonts w:asciiTheme="minorHAnsi" w:hAnsiTheme="minorHAnsi" w:cstheme="minorHAnsi"/>
          <w:noProof/>
          <w:sz w:val="22"/>
          <w:szCs w:val="22"/>
          <w:lang w:val="en-AU" w:eastAsia="en-AU"/>
        </w:rPr>
        <mc:AlternateContent>
          <mc:Choice Requires="wps">
            <w:drawing>
              <wp:anchor distT="45720" distB="45720" distL="114300" distR="114300" simplePos="0" relativeHeight="251659264" behindDoc="0" locked="0" layoutInCell="1" allowOverlap="1" wp14:anchorId="295B4A1A" wp14:editId="14C42DA3">
                <wp:simplePos x="0" y="0"/>
                <wp:positionH relativeFrom="column">
                  <wp:posOffset>-100965</wp:posOffset>
                </wp:positionH>
                <wp:positionV relativeFrom="paragraph">
                  <wp:posOffset>171450</wp:posOffset>
                </wp:positionV>
                <wp:extent cx="2771775" cy="261620"/>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61620"/>
                        </a:xfrm>
                        <a:prstGeom prst="rect">
                          <a:avLst/>
                        </a:prstGeom>
                        <a:solidFill>
                          <a:srgbClr val="FFFFFF"/>
                        </a:solidFill>
                        <a:ln w="9525">
                          <a:noFill/>
                          <a:miter lim="800000"/>
                          <a:headEnd/>
                          <a:tailEnd/>
                        </a:ln>
                      </wps:spPr>
                      <wps:txbx>
                        <w:txbxContent>
                          <w:p w14:paraId="7C0978E2" w14:textId="0A4BB20D" w:rsidR="0048373F" w:rsidRPr="0048373F" w:rsidRDefault="0048373F">
                            <w:pPr>
                              <w:rPr>
                                <w:rFonts w:asciiTheme="minorHAnsi" w:hAnsiTheme="minorHAnsi" w:cstheme="minorHAnsi"/>
                                <w:sz w:val="22"/>
                                <w:szCs w:val="22"/>
                              </w:rPr>
                            </w:pPr>
                            <w:r w:rsidRPr="0048373F">
                              <w:rPr>
                                <w:rFonts w:asciiTheme="minorHAnsi" w:hAnsiTheme="minorHAnsi" w:cstheme="minorHAnsi"/>
                                <w:sz w:val="22"/>
                                <w:szCs w:val="22"/>
                              </w:rPr>
                              <w:t>*Minh.A.Nguyen@student.uts.edu.au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5B4A1A" id="_x0000_t202" coordsize="21600,21600" o:spt="202" path="m,l,21600r21600,l21600,xe">
                <v:stroke joinstyle="miter"/>
                <v:path gradientshapeok="t" o:connecttype="rect"/>
              </v:shapetype>
              <v:shape id="Text Box 2" o:spid="_x0000_s1026" type="#_x0000_t202" style="position:absolute;left:0;text-align:left;margin-left:-7.95pt;margin-top:13.5pt;width:218.25pt;height:2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" stroked="f">
                <v:textbox>
                  <w:txbxContent>
                    <w:p w14:paraId="7C0978E2" w14:textId="0A4BB20D" w:rsidR="0048373F" w:rsidRPr="0048373F" w:rsidRDefault="0048373F">
                      <w:pPr>
                        <w:rPr>
                          <w:rFonts w:asciiTheme="minorHAnsi" w:hAnsiTheme="minorHAnsi" w:cstheme="minorHAnsi"/>
                          <w:sz w:val="22"/>
                          <w:szCs w:val="22"/>
                        </w:rPr>
                      </w:pPr>
                      <w:r w:rsidRPr="0048373F">
                        <w:rPr>
                          <w:rFonts w:asciiTheme="minorHAnsi" w:hAnsiTheme="minorHAnsi" w:cstheme="minorHAnsi"/>
                          <w:sz w:val="22"/>
                          <w:szCs w:val="22"/>
                        </w:rPr>
                        <w:t>*Minh.A.Nguyen@student.uts.edu.au</w:t>
                      </w:r>
                    </w:p>
                  </w:txbxContent>
                </v:textbox>
              </v:shape>
            </w:pict>
          </mc:Fallback>
        </mc:AlternateContent>
      </w:r>
      <w:r w:rsidR="002D4D8D" w:rsidRPr="0008139B">
        <w:rPr>
          <w:rFonts w:asciiTheme="minorHAnsi" w:hAnsiTheme="minorHAnsi" w:cstheme="minorHAnsi"/>
          <w:sz w:val="22"/>
          <w:szCs w:val="22"/>
          <w:lang w:eastAsia="en-AU"/>
        </w:rPr>
        <w:t xml:space="preserve">Nguyen, M.; Xu, T.; et. al. </w:t>
      </w:r>
      <w:r w:rsidR="006770D3" w:rsidRPr="0008139B">
        <w:rPr>
          <w:rFonts w:asciiTheme="minorHAnsi" w:hAnsiTheme="minorHAnsi" w:cstheme="minorHAnsi"/>
          <w:sz w:val="22"/>
          <w:szCs w:val="22"/>
          <w:lang w:eastAsia="en-AU"/>
        </w:rPr>
        <w:t xml:space="preserve">APL Mater. </w:t>
      </w:r>
      <w:r w:rsidR="006770D3" w:rsidRPr="0008139B">
        <w:rPr>
          <w:rFonts w:asciiTheme="minorHAnsi" w:hAnsiTheme="minorHAnsi" w:cstheme="minorHAnsi"/>
          <w:b/>
          <w:bCs/>
          <w:sz w:val="22"/>
          <w:szCs w:val="22"/>
          <w:lang w:eastAsia="en-AU"/>
        </w:rPr>
        <w:t>2019</w:t>
      </w:r>
      <w:r w:rsidR="006770D3" w:rsidRPr="0008139B">
        <w:rPr>
          <w:rFonts w:asciiTheme="minorHAnsi" w:hAnsiTheme="minorHAnsi" w:cstheme="minorHAnsi"/>
          <w:sz w:val="22"/>
          <w:szCs w:val="22"/>
          <w:lang w:eastAsia="en-AU"/>
        </w:rPr>
        <w:t>,</w:t>
      </w:r>
      <w:r w:rsidR="006770D3" w:rsidRPr="0008139B">
        <w:rPr>
          <w:rFonts w:asciiTheme="minorHAnsi" w:hAnsiTheme="minorHAnsi" w:cstheme="minorHAnsi"/>
          <w:b/>
          <w:bCs/>
          <w:sz w:val="22"/>
          <w:szCs w:val="22"/>
          <w:lang w:eastAsia="en-AU"/>
        </w:rPr>
        <w:t xml:space="preserve"> </w:t>
      </w:r>
      <w:r w:rsidR="006770D3" w:rsidRPr="0008139B">
        <w:rPr>
          <w:rFonts w:asciiTheme="minorHAnsi" w:hAnsiTheme="minorHAnsi" w:cstheme="minorHAnsi"/>
          <w:sz w:val="22"/>
          <w:szCs w:val="22"/>
          <w:lang w:eastAsia="en-AU"/>
        </w:rPr>
        <w:t>7, 081106</w:t>
      </w:r>
    </w:p>
    <w:sectPr w:rsidR="00F97620" w:rsidRPr="0008139B" w:rsidSect="00DC0ABB">
      <w:pgSz w:w="11906" w:h="16838"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A85C" w14:textId="77777777" w:rsidR="00113223" w:rsidRDefault="00113223" w:rsidP="00113223">
      <w:r>
        <w:separator/>
      </w:r>
    </w:p>
  </w:endnote>
  <w:endnote w:type="continuationSeparator" w:id="0">
    <w:p w14:paraId="708BEE34" w14:textId="77777777" w:rsidR="00113223" w:rsidRDefault="00113223" w:rsidP="0011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D4832" w14:textId="77777777" w:rsidR="00113223" w:rsidRDefault="00113223" w:rsidP="00113223">
      <w:r>
        <w:separator/>
      </w:r>
    </w:p>
  </w:footnote>
  <w:footnote w:type="continuationSeparator" w:id="0">
    <w:p w14:paraId="40452853" w14:textId="77777777" w:rsidR="00113223" w:rsidRDefault="00113223" w:rsidP="00113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5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6305E"/>
    <w:rsid w:val="0008139B"/>
    <w:rsid w:val="000D4F9C"/>
    <w:rsid w:val="00106C1E"/>
    <w:rsid w:val="001119DC"/>
    <w:rsid w:val="00113223"/>
    <w:rsid w:val="00120251"/>
    <w:rsid w:val="0012770A"/>
    <w:rsid w:val="001A21AD"/>
    <w:rsid w:val="00206930"/>
    <w:rsid w:val="002078AD"/>
    <w:rsid w:val="002226BB"/>
    <w:rsid w:val="00225236"/>
    <w:rsid w:val="002272B0"/>
    <w:rsid w:val="002507FD"/>
    <w:rsid w:val="0028610F"/>
    <w:rsid w:val="002C0CF4"/>
    <w:rsid w:val="002D4D8D"/>
    <w:rsid w:val="00300B92"/>
    <w:rsid w:val="0030585E"/>
    <w:rsid w:val="00366497"/>
    <w:rsid w:val="0037732F"/>
    <w:rsid w:val="00377D20"/>
    <w:rsid w:val="00385986"/>
    <w:rsid w:val="00387491"/>
    <w:rsid w:val="00413009"/>
    <w:rsid w:val="00464BF6"/>
    <w:rsid w:val="0048373F"/>
    <w:rsid w:val="00483B05"/>
    <w:rsid w:val="00485F5C"/>
    <w:rsid w:val="004C02FC"/>
    <w:rsid w:val="004E28B9"/>
    <w:rsid w:val="004E5450"/>
    <w:rsid w:val="004F288E"/>
    <w:rsid w:val="00510FE8"/>
    <w:rsid w:val="0055229D"/>
    <w:rsid w:val="00562D19"/>
    <w:rsid w:val="00571731"/>
    <w:rsid w:val="0059609A"/>
    <w:rsid w:val="00597659"/>
    <w:rsid w:val="005A5E31"/>
    <w:rsid w:val="005C7AB4"/>
    <w:rsid w:val="005E48A2"/>
    <w:rsid w:val="005F19FF"/>
    <w:rsid w:val="00636822"/>
    <w:rsid w:val="00641190"/>
    <w:rsid w:val="006770D3"/>
    <w:rsid w:val="006B3866"/>
    <w:rsid w:val="007046D4"/>
    <w:rsid w:val="00711813"/>
    <w:rsid w:val="00724E3C"/>
    <w:rsid w:val="00743C46"/>
    <w:rsid w:val="00744DF2"/>
    <w:rsid w:val="00796006"/>
    <w:rsid w:val="007B3FF2"/>
    <w:rsid w:val="007E207B"/>
    <w:rsid w:val="00875FC4"/>
    <w:rsid w:val="008909C9"/>
    <w:rsid w:val="00947B77"/>
    <w:rsid w:val="00993AC4"/>
    <w:rsid w:val="00996BFE"/>
    <w:rsid w:val="009B2641"/>
    <w:rsid w:val="009D0807"/>
    <w:rsid w:val="009E2228"/>
    <w:rsid w:val="009F06D6"/>
    <w:rsid w:val="00A23197"/>
    <w:rsid w:val="00A266B4"/>
    <w:rsid w:val="00AC7B83"/>
    <w:rsid w:val="00B34BCF"/>
    <w:rsid w:val="00B84D33"/>
    <w:rsid w:val="00BC5FCC"/>
    <w:rsid w:val="00BE7962"/>
    <w:rsid w:val="00C00287"/>
    <w:rsid w:val="00C079DA"/>
    <w:rsid w:val="00C60A71"/>
    <w:rsid w:val="00C97EEF"/>
    <w:rsid w:val="00CC165A"/>
    <w:rsid w:val="00CD1E07"/>
    <w:rsid w:val="00D04D45"/>
    <w:rsid w:val="00D058B6"/>
    <w:rsid w:val="00D55F3B"/>
    <w:rsid w:val="00DA2731"/>
    <w:rsid w:val="00DB2FEC"/>
    <w:rsid w:val="00DC0ABB"/>
    <w:rsid w:val="00DF1C8E"/>
    <w:rsid w:val="00E0088B"/>
    <w:rsid w:val="00E428D8"/>
    <w:rsid w:val="00EF12F3"/>
    <w:rsid w:val="00EF5713"/>
    <w:rsid w:val="00F13F03"/>
    <w:rsid w:val="00F26BBE"/>
    <w:rsid w:val="00F84226"/>
    <w:rsid w:val="00F97620"/>
    <w:rsid w:val="00FB3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Caption">
    <w:name w:val="caption"/>
    <w:basedOn w:val="Normal"/>
    <w:next w:val="Normal"/>
    <w:uiPriority w:val="35"/>
    <w:unhideWhenUsed/>
    <w:qFormat/>
    <w:rsid w:val="00875FC4"/>
    <w:pPr>
      <w:spacing w:after="200"/>
    </w:pPr>
    <w:rPr>
      <w:i/>
      <w:iCs/>
      <w:color w:val="44546A" w:themeColor="text2"/>
      <w:sz w:val="18"/>
      <w:szCs w:val="18"/>
    </w:rPr>
  </w:style>
  <w:style w:type="paragraph" w:styleId="Header">
    <w:name w:val="header"/>
    <w:basedOn w:val="Normal"/>
    <w:link w:val="HeaderChar"/>
    <w:uiPriority w:val="99"/>
    <w:unhideWhenUsed/>
    <w:rsid w:val="00113223"/>
    <w:pPr>
      <w:tabs>
        <w:tab w:val="center" w:pos="4513"/>
        <w:tab w:val="right" w:pos="9026"/>
      </w:tabs>
    </w:pPr>
  </w:style>
  <w:style w:type="character" w:customStyle="1" w:styleId="HeaderChar">
    <w:name w:val="Header Char"/>
    <w:basedOn w:val="DefaultParagraphFont"/>
    <w:link w:val="Header"/>
    <w:uiPriority w:val="99"/>
    <w:rsid w:val="00113223"/>
    <w:rPr>
      <w:sz w:val="24"/>
      <w:szCs w:val="24"/>
      <w:lang w:val="en-US"/>
    </w:rPr>
  </w:style>
  <w:style w:type="paragraph" w:styleId="Footer">
    <w:name w:val="footer"/>
    <w:basedOn w:val="Normal"/>
    <w:link w:val="FooterChar"/>
    <w:uiPriority w:val="99"/>
    <w:unhideWhenUsed/>
    <w:rsid w:val="00113223"/>
    <w:pPr>
      <w:tabs>
        <w:tab w:val="center" w:pos="4513"/>
        <w:tab w:val="right" w:pos="9026"/>
      </w:tabs>
    </w:pPr>
  </w:style>
  <w:style w:type="character" w:customStyle="1" w:styleId="FooterChar">
    <w:name w:val="Footer Char"/>
    <w:basedOn w:val="DefaultParagraphFont"/>
    <w:link w:val="Footer"/>
    <w:uiPriority w:val="99"/>
    <w:rsid w:val="00113223"/>
    <w:rPr>
      <w:sz w:val="24"/>
      <w:szCs w:val="24"/>
      <w:lang w:val="en-US"/>
    </w:rPr>
  </w:style>
  <w:style w:type="character" w:customStyle="1" w:styleId="UnresolvedMention">
    <w:name w:val="Unresolved Mention"/>
    <w:basedOn w:val="DefaultParagraphFont"/>
    <w:uiPriority w:val="99"/>
    <w:semiHidden/>
    <w:unhideWhenUsed/>
    <w:rsid w:val="0048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1694</TotalTime>
  <Pages>1</Pages>
  <Words>418</Words>
  <Characters>2580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2993</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Minh Nguyen</cp:lastModifiedBy>
  <cp:revision>46</cp:revision>
  <cp:lastPrinted>2013-06-13T05:15:00Z</cp:lastPrinted>
  <dcterms:created xsi:type="dcterms:W3CDTF">2019-08-15T09:45:00Z</dcterms:created>
  <dcterms:modified xsi:type="dcterms:W3CDTF">2019-08-19T00:12:00Z</dcterms:modified>
</cp:coreProperties>
</file>