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80278" w14:textId="77777777" w:rsidR="00601754" w:rsidRDefault="00601754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</w:pPr>
    </w:p>
    <w:p w14:paraId="5391CFF3" w14:textId="7C0A4C73" w:rsidR="00155D13" w:rsidRDefault="00155D13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</w:pP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Effects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O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C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ellular </w:t>
      </w:r>
      <w:r w:rsidR="00292110"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  <w:t xml:space="preserve">Entry </w:t>
      </w:r>
      <w:proofErr w:type="gramStart"/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O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</w:t>
      </w:r>
      <w:proofErr w:type="gramEnd"/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T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he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E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fficacy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O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 Adenovirus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V</w:t>
      </w:r>
      <w:r w:rsidRPr="00155D13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e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ctor-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B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ased </w:t>
      </w:r>
      <w:r w:rsidR="005608E6">
        <w:rPr>
          <w:rFonts w:ascii="Arial" w:eastAsia="Calibri" w:hAnsi="Arial" w:cs="Calibri" w:hint="eastAsia"/>
          <w:b/>
          <w:bCs/>
          <w:kern w:val="0"/>
          <w:lang w:val="en-US" w:eastAsia="ja-JP"/>
          <w14:ligatures w14:val="none"/>
        </w:rPr>
        <w:t>V</w:t>
      </w:r>
      <w:r w:rsidRPr="00155D1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accine </w:t>
      </w:r>
    </w:p>
    <w:p w14:paraId="2826F1B9" w14:textId="1BE389A0" w:rsidR="00C315D2" w:rsidRPr="00C315D2" w:rsidRDefault="00C315D2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353EDC2E" w14:textId="124606E7" w:rsidR="00155D13" w:rsidRPr="00155D13" w:rsidRDefault="00155D13" w:rsidP="00155D13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:u w:val="single"/>
          <w:lang w:val="en-US"/>
          <w14:ligatures w14:val="none"/>
        </w:rPr>
      </w:pPr>
      <w:r w:rsidRPr="00155D13">
        <w:rPr>
          <w:rFonts w:ascii="Arial" w:eastAsia="Calibri" w:hAnsi="Arial" w:cs="Calibri"/>
          <w:b/>
          <w:bCs/>
          <w:kern w:val="0"/>
          <w:sz w:val="20"/>
          <w:szCs w:val="20"/>
          <w:u w:val="single"/>
          <w:lang w:val="en-US"/>
          <w14:ligatures w14:val="none"/>
        </w:rPr>
        <w:t>Rika Onishi</w:t>
      </w:r>
      <w:r w:rsidRPr="00155D13">
        <w:rPr>
          <w:rFonts w:ascii="Arial" w:eastAsia="Calibri" w:hAnsi="Arial" w:cs="Calibri"/>
          <w:b/>
          <w:bCs/>
          <w:kern w:val="0"/>
          <w:sz w:val="20"/>
          <w:szCs w:val="20"/>
          <w:u w:val="single"/>
          <w:vertAlign w:val="superscript"/>
          <w:lang w:val="en-US"/>
          <w14:ligatures w14:val="none"/>
        </w:rPr>
        <w:t>1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Aoi Shiota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Hayato</w:t>
      </w:r>
      <w:proofErr w:type="spellEnd"/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Nakatani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Masashi Tachibana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1,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7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Kahori Shimizu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Toshiro Hirai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1,4,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5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Yasuo Yoshioka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1,3,4,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5,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6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Fuminori Sakurai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1,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8</w:t>
      </w:r>
      <w:r w:rsidRPr="00155D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Hiroyuki Mizuguchi</w:t>
      </w:r>
      <w:r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1,2,3,4</w:t>
      </w:r>
    </w:p>
    <w:p w14:paraId="315F266F" w14:textId="77777777" w:rsidR="00155D13" w:rsidRDefault="00155D13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</w:pPr>
    </w:p>
    <w:p w14:paraId="34A33D43" w14:textId="6E8239CB" w:rsidR="00155D13" w:rsidRPr="00155D13" w:rsidRDefault="00155D13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Graduate School of Pharmaceutical Sciences, Osaka University</w:t>
      </w:r>
      <w:r w:rsidR="007E0D1E" w:rsidRPr="00155D13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20253A9F" w14:textId="52A36B3C" w:rsidR="00155D13" w:rsidRPr="00155D13" w:rsidRDefault="00155D13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National Institutes of Biomedical Innovation, Health and Nutrition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21E2E247" w14:textId="731DA529" w:rsidR="00155D13" w:rsidRDefault="00155D13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proofErr w:type="spellStart"/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Center</w:t>
      </w:r>
      <w:proofErr w:type="spellEnd"/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Advanced Medical Engineering and Informatics, Osaka University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3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1AD50605" w14:textId="5D75C15F" w:rsidR="00155D13" w:rsidRPr="00155D13" w:rsidRDefault="00155D13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Research Initiatives (OTRI), Osaka University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4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7954B897" w14:textId="65FAD92D" w:rsidR="00155D13" w:rsidRPr="00155D13" w:rsidRDefault="007E0D1E" w:rsidP="00155D13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Research</w:t>
      </w:r>
      <w:r w:rsidRPr="007E0D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Institute for Microbial Diseases</w:t>
      </w:r>
      <w:r w:rsidR="00155D13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r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RIMD</w:t>
      </w:r>
      <w:r w:rsidR="00155D13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), Osaka University</w:t>
      </w:r>
      <w:r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5</w:t>
      </w:r>
      <w:r w:rsidR="00155D13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</w:t>
      </w:r>
      <w:r w:rsid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155D13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7C31DAE9" w14:textId="4FE3A819" w:rsidR="00155D13" w:rsidRDefault="007E0D1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7E0D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BIKEN Innovative Vaccine Research Alliance Laboratories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 University</w:t>
      </w:r>
      <w:r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6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01F22590" w14:textId="22E55829" w:rsidR="00155D13" w:rsidRDefault="0061356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College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357787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Life 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Sciences, </w:t>
      </w:r>
      <w:proofErr w:type="spellStart"/>
      <w:r w:rsidR="007E0D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Ritsumeikan</w:t>
      </w:r>
      <w:proofErr w:type="spellEnd"/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7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Shig</w:t>
      </w:r>
      <w:r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 w:rsidR="005608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7290A676" w14:textId="338E48A0" w:rsidR="00155D13" w:rsidRDefault="00F9603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Pharmac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7E0D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Kin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dai</w:t>
      </w:r>
      <w:proofErr w:type="spellEnd"/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</w:t>
      </w:r>
      <w:r w:rsidR="007E0D1E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8</w:t>
      </w:r>
      <w:r w:rsidR="007E0D1E" w:rsidRPr="00155D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Osaka, Japan.</w:t>
      </w:r>
    </w:p>
    <w:p w14:paraId="2DD37039" w14:textId="77777777" w:rsidR="00C315D2" w:rsidRDefault="00C315D2" w:rsidP="005608E6">
      <w:pPr>
        <w:spacing w:after="0" w:line="240" w:lineRule="auto"/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09FCF95E" w14:textId="77777777" w:rsidR="0061629C" w:rsidRDefault="0061629C" w:rsidP="005608E6">
      <w:pPr>
        <w:spacing w:after="0" w:line="240" w:lineRule="auto"/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</w:pPr>
    </w:p>
    <w:p w14:paraId="52DC32C2" w14:textId="5E549928" w:rsidR="0061629C" w:rsidRPr="00C315D2" w:rsidRDefault="0061629C" w:rsidP="005608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68CE7425" w14:textId="4F98AD20" w:rsidR="00357787" w:rsidRPr="00485092" w:rsidRDefault="00B8473A" w:rsidP="005608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Adenoviral (Ad) vectors are among the most promising next-generation vaccine modalities currently under </w:t>
      </w:r>
      <w:r w:rsidR="00357787" w:rsidRPr="001A00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development,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owing to their high gene delivery efficiency.</w:t>
      </w:r>
      <w:r w:rsidR="00B5207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Adenoviruses are composed of three major capsid proteins—fiber, penton base, and </w:t>
      </w:r>
      <w:proofErr w:type="spellStart"/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hexon</w:t>
      </w:r>
      <w:proofErr w:type="spellEnd"/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—which have been shown to play critical roles in determining the tissue tropism of Ad vector</w:t>
      </w:r>
      <w:r w:rsidR="00357787" w:rsidRPr="008E46E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s.</w:t>
      </w:r>
      <w:r w:rsidR="00485092" w:rsidRPr="008E46E0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357787" w:rsidRPr="008E46E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or the widely used adenovirus </w:t>
      </w:r>
      <w:r w:rsidR="00273375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serotype 5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(Ad5) vector, three principal cellular entry pathways have been identified: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(1) binding of the fiber knob domain to the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</w:t>
      </w:r>
      <w:r w:rsidR="008E550D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oxsackie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and adenovirus receptor (CAR),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(2) interaction between the RGD motif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on</w:t>
      </w:r>
      <w:r w:rsidR="008E550D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penton base and αv integrins, </w:t>
      </w:r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(3) binding of coagulation factor X (FX) to the </w:t>
      </w:r>
      <w:proofErr w:type="spellStart"/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hexon</w:t>
      </w:r>
      <w:proofErr w:type="spellEnd"/>
      <w:r w:rsidR="00357787"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which facilitates attachment to heparan sulfate proteoglycans on the cell surface.</w:t>
      </w:r>
    </w:p>
    <w:p w14:paraId="1EDF09F8" w14:textId="6593F981" w:rsidR="00AD5AF0" w:rsidRDefault="00357787" w:rsidP="005608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However, the extent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 which these receptor-mediated entry pathways influence the immunogenicity and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vaccine 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efficacy of Ad5-based vaccines </w:t>
      </w:r>
      <w:r w:rsidR="001A00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are not well understood. </w:t>
      </w:r>
      <w:r w:rsidR="00AD5AF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 this study, we investigated the effect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="00AD5AF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cellular uptake pathway on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</w:t>
      </w:r>
      <w:r w:rsidR="00FC615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vaccine </w:t>
      </w:r>
      <w:r w:rsidR="00AD5AF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efficac</w:t>
      </w:r>
      <w:r w:rsidR="002733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ies</w:t>
      </w:r>
      <w:r w:rsidR="00AD5AF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</w:t>
      </w:r>
      <w:r w:rsidR="002733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Ad </w:t>
      </w:r>
      <w:r w:rsidR="00AD5AF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vector</w:t>
      </w:r>
      <w:r w:rsidR="002733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="00D3145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by using the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capsid-</w:t>
      </w:r>
      <w:r w:rsidR="00D3145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modified Ad vectors which 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utilize the different </w:t>
      </w:r>
      <w:r w:rsidR="00D3145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cellular entry routes</w:t>
      </w:r>
      <w:r w:rsidR="008E55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 transduction</w:t>
      </w:r>
      <w:r w:rsidR="00D3145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07A0CBBF" w14:textId="77777777" w:rsidR="00357787" w:rsidRDefault="00357787" w:rsidP="005608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66224EFF" w14:textId="4FB1C1AC" w:rsidR="00357787" w:rsidRDefault="00357787" w:rsidP="005608E6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this study, we </w:t>
      </w:r>
      <w:r w:rsidR="008E55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used</w:t>
      </w:r>
      <w:r w:rsidR="008E550D"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Ad5 vectors with mutations in the </w:t>
      </w:r>
      <w:proofErr w:type="spellStart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fiber</w:t>
      </w:r>
      <w:proofErr w:type="spellEnd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penton base, and </w:t>
      </w:r>
      <w:proofErr w:type="spellStart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hexon</w:t>
      </w:r>
      <w:proofErr w:type="spellEnd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A169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Each </w:t>
      </w:r>
      <w:r w:rsidR="00273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capsid-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modified Ad vector</w:t>
      </w:r>
      <w:r w:rsidR="00613561" w:rsidRPr="006135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135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expressing </w:t>
      </w:r>
      <w:r w:rsidR="00613561" w:rsidRPr="005B43BB">
        <w:rPr>
          <w:rFonts w:ascii="Symbol" w:eastAsia="Calibri" w:hAnsi="Symbol" w:cs="Calibri"/>
          <w:bCs/>
          <w:kern w:val="0"/>
          <w:sz w:val="20"/>
          <w:szCs w:val="20"/>
          <w14:ligatures w14:val="none"/>
        </w:rPr>
        <w:t></w:t>
      </w:r>
      <w:r w:rsidR="006135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-galactosidase (</w:t>
      </w:r>
      <w:r w:rsidR="00613561" w:rsidRPr="005B43BB">
        <w:rPr>
          <w:rFonts w:ascii="Symbol" w:eastAsia="Calibri" w:hAnsi="Symbol" w:cs="Calibri"/>
          <w:bCs/>
          <w:kern w:val="0"/>
          <w:sz w:val="20"/>
          <w:szCs w:val="20"/>
          <w14:ligatures w14:val="none"/>
        </w:rPr>
        <w:t></w:t>
      </w:r>
      <w:r w:rsidR="006135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-gal) as a model antigen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administered to mice either intramuscularly or intranasally</w:t>
      </w:r>
      <w:r w:rsidR="00273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73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Anti-</w:t>
      </w:r>
      <w:r w:rsidR="00273375" w:rsidRPr="005B43BB">
        <w:rPr>
          <w:rFonts w:ascii="Symbol" w:eastAsia="Calibri" w:hAnsi="Symbol" w:cs="Calibri"/>
          <w:bCs/>
          <w:kern w:val="0"/>
          <w:sz w:val="20"/>
          <w:szCs w:val="20"/>
          <w14:ligatures w14:val="none"/>
        </w:rPr>
        <w:t></w:t>
      </w:r>
      <w:r w:rsidR="00273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-gal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antibody </w:t>
      </w:r>
      <w:proofErr w:type="spellStart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titers</w:t>
      </w:r>
      <w:proofErr w:type="spellEnd"/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73375"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serum</w:t>
      </w:r>
      <w:r w:rsidR="002733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="00273375"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bronchoalveolar lavage fluid (BALF)</w:t>
      </w:r>
      <w:r w:rsidR="002733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and nasal wash</w:t>
      </w:r>
      <w:r w:rsidR="00273375"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3577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 subsequently measured.</w:t>
      </w:r>
    </w:p>
    <w:p w14:paraId="1389F170" w14:textId="77777777" w:rsidR="00357787" w:rsidRPr="00C315D2" w:rsidRDefault="00357787" w:rsidP="005608E6">
      <w:pPr>
        <w:spacing w:after="0" w:line="240" w:lineRule="auto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3C6BC884" w14:textId="03395072" w:rsidR="0061629C" w:rsidRDefault="00357787" w:rsidP="005608E6">
      <w:pPr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Following intramuscular administration, no significant differences in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>vaccine efficac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ies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were observed </w:t>
      </w:r>
      <w:r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among the capsid-mutant Ad5 vectors, and all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Ad vectors </w:t>
      </w:r>
      <w:r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induced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</w:t>
      </w:r>
      <w:r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comparable levels of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anti-</w:t>
      </w:r>
      <w:r w:rsidR="00F96034" w:rsidRPr="005B43BB">
        <w:rPr>
          <w:rFonts w:ascii="Symbol" w:eastAsia="Calibri" w:hAnsi="Symbol" w:cs="Calibri"/>
          <w:kern w:val="0"/>
          <w:sz w:val="20"/>
          <w:szCs w:val="20"/>
          <w14:ligatures w14:val="none"/>
        </w:rPr>
        <w:t>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-gal</w:t>
      </w:r>
      <w:r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antibodies to those </w:t>
      </w:r>
      <w:r w:rsidR="00FC615D"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>of</w:t>
      </w:r>
      <w:r w:rsidRPr="00FC615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the conventional Ad5 vecto</w:t>
      </w:r>
      <w:r w:rsidRPr="008E46E0">
        <w:rPr>
          <w:rFonts w:ascii="Arial" w:eastAsia="Calibri" w:hAnsi="Arial" w:cs="Calibri"/>
          <w:kern w:val="0"/>
          <w:sz w:val="20"/>
          <w:szCs w:val="20"/>
          <w14:ligatures w14:val="none"/>
        </w:rPr>
        <w:t>r.</w:t>
      </w:r>
      <w:r w:rsidR="00485092" w:rsidRPr="008E46E0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Pr="008E46E0">
        <w:rPr>
          <w:rFonts w:ascii="Arial" w:eastAsia="Calibri" w:hAnsi="Arial" w:cs="Calibri"/>
          <w:kern w:val="0"/>
          <w:sz w:val="20"/>
          <w:szCs w:val="20"/>
          <w14:ligatures w14:val="none"/>
        </w:rPr>
        <w:t>I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n contrast, after intranasal administration,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Ad 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>vector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s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with mutations in the penton base or </w:t>
      </w:r>
      <w:proofErr w:type="spellStart"/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>hexon</w:t>
      </w:r>
      <w:proofErr w:type="spellEnd"/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mediated anti-</w:t>
      </w:r>
      <w:r w:rsidR="00F96034" w:rsidRPr="005B43BB">
        <w:rPr>
          <w:rFonts w:ascii="Symbol" w:eastAsia="Calibri" w:hAnsi="Symbol" w:cs="Calibri"/>
          <w:kern w:val="0"/>
          <w:sz w:val="20"/>
          <w:szCs w:val="20"/>
          <w14:ligatures w14:val="none"/>
        </w:rPr>
        <w:t>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-gal antibody </w:t>
      </w:r>
      <w:proofErr w:type="spellStart"/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titers</w:t>
      </w:r>
      <w:proofErr w:type="spellEnd"/>
      <w:r w:rsidR="008E550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 the BALF, serum, and nasal wash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at levels comparable to 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those induced by the </w:t>
      </w:r>
      <w:r w:rsidR="00252AB0">
        <w:rPr>
          <w:rFonts w:ascii="Arial" w:eastAsia="Calibri" w:hAnsi="Arial" w:cs="Calibri"/>
          <w:kern w:val="0"/>
          <w:sz w:val="20"/>
          <w:szCs w:val="20"/>
          <w14:ligatures w14:val="none"/>
        </w:rPr>
        <w:t>conventional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Ad5 vector. </w:t>
      </w:r>
      <w:r w:rsidR="00F96034">
        <w:rPr>
          <w:rFonts w:ascii="Arial" w:eastAsia="Calibri" w:hAnsi="Arial" w:cs="Calibri"/>
          <w:kern w:val="0"/>
          <w:sz w:val="20"/>
          <w:szCs w:val="20"/>
          <w14:ligatures w14:val="none"/>
        </w:rPr>
        <w:t>On the other hand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>, the CAR-binding</w:t>
      </w:r>
      <w:r w:rsidR="00A33F9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ablated Ad5 vector exhibited a significant reduction in </w:t>
      </w:r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>the anti-</w:t>
      </w:r>
      <w:r w:rsidR="00613561" w:rsidRPr="005B43BB">
        <w:rPr>
          <w:rFonts w:ascii="Symbol" w:eastAsia="Calibri" w:hAnsi="Symbol" w:cs="Calibri"/>
          <w:kern w:val="0"/>
          <w:sz w:val="20"/>
          <w:szCs w:val="20"/>
          <w14:ligatures w14:val="none"/>
        </w:rPr>
        <w:t></w:t>
      </w:r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-gal IgG </w:t>
      </w:r>
      <w:proofErr w:type="spellStart"/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>titers</w:t>
      </w:r>
      <w:proofErr w:type="spellEnd"/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 the serum and BALF, and anti-</w:t>
      </w:r>
      <w:r w:rsidR="00613561" w:rsidRPr="005B43BB">
        <w:rPr>
          <w:rFonts w:ascii="Symbol" w:eastAsia="Calibri" w:hAnsi="Symbol" w:cs="Calibri"/>
          <w:kern w:val="0"/>
          <w:sz w:val="20"/>
          <w:szCs w:val="20"/>
          <w14:ligatures w14:val="none"/>
        </w:rPr>
        <w:t></w:t>
      </w:r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-gal IgA </w:t>
      </w:r>
      <w:proofErr w:type="spellStart"/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>titers</w:t>
      </w:r>
      <w:proofErr w:type="spellEnd"/>
      <w:r w:rsidR="00D06F1A" w:rsidRPr="00D06F1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 the BALF and nasal wash. </w:t>
      </w:r>
    </w:p>
    <w:p w14:paraId="1B418D1D" w14:textId="207BDD8C" w:rsidR="00B5207E" w:rsidRPr="00B5207E" w:rsidRDefault="00357787" w:rsidP="00B5207E">
      <w:pP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br/>
      </w:r>
      <w:r w:rsidR="00A1698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A1698E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A1698E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>These results suggest that</w:t>
      </w:r>
      <w:r w:rsidR="00292110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 while</w:t>
      </w:r>
      <w:r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8E46E0"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the </w:t>
      </w:r>
      <w:r w:rsidR="00E03071"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>specific cellular entry pathway</w:t>
      </w:r>
      <w:r w:rsidR="008E46E0"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:lang w:val="en-US"/>
          <w14:ligatures w14:val="none"/>
        </w:rPr>
        <w:t xml:space="preserve"> of the Ad vector</w:t>
      </w:r>
      <w:r w:rsidR="00E03071"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 does not affect the vaccine </w:t>
      </w:r>
      <w:r w:rsidR="00292110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>efficacy</w:t>
      </w:r>
      <w:r w:rsidR="00E03071" w:rsidRPr="00B930A7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 following intramuscular administration</w:t>
      </w:r>
      <w:r w:rsidR="00292110">
        <w:rPr>
          <w:rFonts w:ascii="Arial" w:eastAsia="Calibri" w:hAnsi="Arial" w:cs="Calibri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CAR-mediated cellular entry </w:t>
      </w:r>
      <w:r w:rsidR="005718C7">
        <w:rPr>
          <w:rFonts w:ascii="Arial" w:eastAsia="Calibri" w:hAnsi="Arial" w:cs="Calibri"/>
          <w:kern w:val="0"/>
          <w:sz w:val="20"/>
          <w:szCs w:val="20"/>
          <w14:ligatures w14:val="none"/>
        </w:rPr>
        <w:t>is critical for inducing an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5718C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efficient </w:t>
      </w:r>
      <w:r w:rsidR="005718C7"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>vaccine eff</w:t>
      </w:r>
      <w:r w:rsidR="005718C7">
        <w:rPr>
          <w:rFonts w:ascii="Arial" w:eastAsia="Calibri" w:hAnsi="Arial" w:cs="Calibri"/>
          <w:kern w:val="0"/>
          <w:sz w:val="20"/>
          <w:szCs w:val="20"/>
          <w14:ligatures w14:val="none"/>
        </w:rPr>
        <w:t>ect of the Ad vector</w:t>
      </w:r>
      <w:r w:rsidRPr="0035778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following intranasal immunization.</w:t>
      </w:r>
      <w:r w:rsidR="0082232A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B5207E" w:rsidRPr="00B5207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Therefore, these findings highlight that unmodified fibers are</w:t>
      </w:r>
      <w:r w:rsidR="00B5207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5207E" w:rsidRPr="00B5207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preferable for intranasal Ad vector-based vaccines</w:t>
      </w:r>
      <w:r w:rsidR="00B5207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5207E" w:rsidRPr="00B5207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and offer valuable insights for the development of intranasal vaccine platforms.</w:t>
      </w:r>
    </w:p>
    <w:p w14:paraId="73AEDB02" w14:textId="3CCF6096" w:rsidR="00357787" w:rsidRPr="00B5207E" w:rsidRDefault="00357787" w:rsidP="005608E6">
      <w:pPr>
        <w:rPr>
          <w:rFonts w:ascii="Arial" w:eastAsia="Calibri" w:hAnsi="Arial" w:cs="Calibri"/>
          <w:kern w:val="0"/>
          <w:sz w:val="20"/>
          <w:szCs w:val="20"/>
          <w:lang w:val="en-US" w:eastAsia="ja-JP"/>
          <w14:ligatures w14:val="none"/>
        </w:rPr>
      </w:pPr>
    </w:p>
    <w:p w14:paraId="41CED03A" w14:textId="311F46D9" w:rsidR="00357787" w:rsidRPr="00B5207E" w:rsidRDefault="00357787" w:rsidP="005608E6">
      <w:pPr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sectPr w:rsidR="00357787" w:rsidRPr="00B52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7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D2"/>
    <w:rsid w:val="00107368"/>
    <w:rsid w:val="00113BB7"/>
    <w:rsid w:val="00155D13"/>
    <w:rsid w:val="001A006F"/>
    <w:rsid w:val="002017E6"/>
    <w:rsid w:val="00217DDA"/>
    <w:rsid w:val="00252AB0"/>
    <w:rsid w:val="002563F2"/>
    <w:rsid w:val="00273375"/>
    <w:rsid w:val="00284CAE"/>
    <w:rsid w:val="00292110"/>
    <w:rsid w:val="00294059"/>
    <w:rsid w:val="002E2290"/>
    <w:rsid w:val="003206E4"/>
    <w:rsid w:val="00357787"/>
    <w:rsid w:val="00381B89"/>
    <w:rsid w:val="003A2501"/>
    <w:rsid w:val="003A6D5C"/>
    <w:rsid w:val="00485092"/>
    <w:rsid w:val="004A51B6"/>
    <w:rsid w:val="004F690A"/>
    <w:rsid w:val="00510CF8"/>
    <w:rsid w:val="005209A0"/>
    <w:rsid w:val="005608E6"/>
    <w:rsid w:val="00562F87"/>
    <w:rsid w:val="005718C7"/>
    <w:rsid w:val="00575A29"/>
    <w:rsid w:val="005B43BB"/>
    <w:rsid w:val="00601754"/>
    <w:rsid w:val="00613561"/>
    <w:rsid w:val="0061629C"/>
    <w:rsid w:val="006472EC"/>
    <w:rsid w:val="006A34BE"/>
    <w:rsid w:val="006B20A3"/>
    <w:rsid w:val="006F3F1C"/>
    <w:rsid w:val="007141F2"/>
    <w:rsid w:val="007561D8"/>
    <w:rsid w:val="00795378"/>
    <w:rsid w:val="00796206"/>
    <w:rsid w:val="007C367E"/>
    <w:rsid w:val="007D5C1C"/>
    <w:rsid w:val="007E0D1E"/>
    <w:rsid w:val="008071C5"/>
    <w:rsid w:val="0082232A"/>
    <w:rsid w:val="008E46E0"/>
    <w:rsid w:val="008E550D"/>
    <w:rsid w:val="00906D34"/>
    <w:rsid w:val="00933DC9"/>
    <w:rsid w:val="00936D4C"/>
    <w:rsid w:val="009411F6"/>
    <w:rsid w:val="009523F9"/>
    <w:rsid w:val="00954936"/>
    <w:rsid w:val="009650DF"/>
    <w:rsid w:val="009B1CBB"/>
    <w:rsid w:val="009C121C"/>
    <w:rsid w:val="00A0516D"/>
    <w:rsid w:val="00A1698E"/>
    <w:rsid w:val="00A25C9B"/>
    <w:rsid w:val="00A33F98"/>
    <w:rsid w:val="00A629CD"/>
    <w:rsid w:val="00AD5AF0"/>
    <w:rsid w:val="00B36FC7"/>
    <w:rsid w:val="00B4721D"/>
    <w:rsid w:val="00B5207E"/>
    <w:rsid w:val="00B8473A"/>
    <w:rsid w:val="00B930A7"/>
    <w:rsid w:val="00BD242B"/>
    <w:rsid w:val="00BE4DAA"/>
    <w:rsid w:val="00C21815"/>
    <w:rsid w:val="00C315D2"/>
    <w:rsid w:val="00C353D8"/>
    <w:rsid w:val="00CF5A91"/>
    <w:rsid w:val="00D02BB1"/>
    <w:rsid w:val="00D06F1A"/>
    <w:rsid w:val="00D31452"/>
    <w:rsid w:val="00D45A74"/>
    <w:rsid w:val="00D7428F"/>
    <w:rsid w:val="00E03071"/>
    <w:rsid w:val="00E37EEA"/>
    <w:rsid w:val="00EC3746"/>
    <w:rsid w:val="00F539FB"/>
    <w:rsid w:val="00F85528"/>
    <w:rsid w:val="00F96034"/>
    <w:rsid w:val="00F96E9B"/>
    <w:rsid w:val="00FC615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13"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57787"/>
    <w:rPr>
      <w:rFonts w:ascii="Times New Roman" w:hAnsi="Times New Roman" w:cs="Times New Roman"/>
    </w:rPr>
  </w:style>
  <w:style w:type="paragraph" w:styleId="aa">
    <w:name w:val="Revision"/>
    <w:hidden/>
    <w:uiPriority w:val="99"/>
    <w:semiHidden/>
    <w:rsid w:val="007D5C1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135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561"/>
  </w:style>
  <w:style w:type="character" w:customStyle="1" w:styleId="ad">
    <w:name w:val="コメント文字列 (文字)"/>
    <w:basedOn w:val="a0"/>
    <w:link w:val="ac"/>
    <w:uiPriority w:val="99"/>
    <w:semiHidden/>
    <w:rsid w:val="006135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5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56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135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13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oonishi-r@phs.osaka-u.ac.jp</cp:lastModifiedBy>
  <cp:revision>5</cp:revision>
  <dcterms:created xsi:type="dcterms:W3CDTF">2025-07-22T00:49:00Z</dcterms:created>
  <dcterms:modified xsi:type="dcterms:W3CDTF">2025-07-22T07:35:00Z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