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991D" w14:textId="06F103E1" w:rsidR="001956AD" w:rsidRPr="008B3803" w:rsidRDefault="00D32106" w:rsidP="001956A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8B3803">
        <w:rPr>
          <w:rFonts w:ascii="Times New Roman" w:hAnsi="Times New Roman" w:cs="Times New Roman"/>
          <w:b/>
          <w:sz w:val="24"/>
          <w:szCs w:val="24"/>
          <w:lang w:val="en-AU"/>
        </w:rPr>
        <w:t>Nodule-specific PLAT domain (</w:t>
      </w:r>
      <w:r w:rsidR="00546CEA" w:rsidRPr="008B3803">
        <w:rPr>
          <w:rFonts w:ascii="Times New Roman" w:hAnsi="Times New Roman" w:cs="Times New Roman"/>
          <w:b/>
          <w:sz w:val="24"/>
          <w:szCs w:val="24"/>
          <w:lang w:val="en-AU"/>
        </w:rPr>
        <w:t>Mt</w:t>
      </w:r>
      <w:r w:rsidRPr="008B3803">
        <w:rPr>
          <w:rFonts w:ascii="Times New Roman" w:hAnsi="Times New Roman" w:cs="Times New Roman"/>
          <w:b/>
          <w:sz w:val="24"/>
          <w:szCs w:val="24"/>
          <w:lang w:val="en-AU"/>
        </w:rPr>
        <w:t>NPD1)</w:t>
      </w:r>
      <w:r w:rsidR="00546CEA" w:rsidRPr="008B3803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r w:rsidRPr="008B3803">
        <w:rPr>
          <w:rFonts w:ascii="Times New Roman" w:hAnsi="Times New Roman" w:cs="Times New Roman"/>
          <w:b/>
          <w:sz w:val="24"/>
          <w:szCs w:val="24"/>
          <w:lang w:val="en-AU"/>
        </w:rPr>
        <w:t>-</w:t>
      </w:r>
      <w:r w:rsidR="00546CEA" w:rsidRPr="008B3803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r w:rsidRPr="008B3803">
        <w:rPr>
          <w:rFonts w:ascii="Times New Roman" w:hAnsi="Times New Roman" w:cs="Times New Roman"/>
          <w:b/>
          <w:sz w:val="24"/>
          <w:szCs w:val="24"/>
          <w:lang w:val="en-AU"/>
        </w:rPr>
        <w:t>dependent h</w:t>
      </w:r>
      <w:r w:rsidR="009267F7" w:rsidRPr="008B3803">
        <w:rPr>
          <w:rFonts w:ascii="Times New Roman" w:hAnsi="Times New Roman" w:cs="Times New Roman"/>
          <w:b/>
          <w:sz w:val="24"/>
          <w:szCs w:val="24"/>
          <w:lang w:val="en-AU"/>
        </w:rPr>
        <w:t>ost-</w:t>
      </w:r>
      <w:r w:rsidRPr="008B3803">
        <w:rPr>
          <w:rFonts w:ascii="Times New Roman" w:hAnsi="Times New Roman" w:cs="Times New Roman"/>
          <w:b/>
          <w:sz w:val="24"/>
          <w:szCs w:val="24"/>
          <w:lang w:val="en-AU"/>
        </w:rPr>
        <w:t>s</w:t>
      </w:r>
      <w:r w:rsidR="009267F7" w:rsidRPr="008B3803">
        <w:rPr>
          <w:rFonts w:ascii="Times New Roman" w:hAnsi="Times New Roman" w:cs="Times New Roman"/>
          <w:b/>
          <w:sz w:val="24"/>
          <w:szCs w:val="24"/>
          <w:lang w:val="en-AU"/>
        </w:rPr>
        <w:t xml:space="preserve">train </w:t>
      </w:r>
      <w:r w:rsidR="0066236F" w:rsidRPr="008B3803">
        <w:rPr>
          <w:rFonts w:ascii="Times New Roman" w:hAnsi="Times New Roman" w:cs="Times New Roman"/>
          <w:b/>
          <w:sz w:val="24"/>
          <w:szCs w:val="24"/>
          <w:lang w:val="en-AU"/>
        </w:rPr>
        <w:t>compatibility</w:t>
      </w:r>
      <w:r w:rsidRPr="008B3803">
        <w:rPr>
          <w:rFonts w:ascii="Times New Roman" w:hAnsi="Times New Roman" w:cs="Times New Roman"/>
          <w:b/>
          <w:sz w:val="24"/>
          <w:szCs w:val="24"/>
          <w:lang w:val="en-AU"/>
        </w:rPr>
        <w:t xml:space="preserve"> in the </w:t>
      </w:r>
      <w:r w:rsidRPr="008B3803">
        <w:rPr>
          <w:rFonts w:ascii="Times New Roman" w:hAnsi="Times New Roman" w:cs="Times New Roman"/>
          <w:b/>
          <w:i/>
          <w:iCs/>
          <w:sz w:val="24"/>
          <w:szCs w:val="24"/>
          <w:lang w:val="en-AU"/>
        </w:rPr>
        <w:t xml:space="preserve">Medicago </w:t>
      </w:r>
      <w:proofErr w:type="spellStart"/>
      <w:r w:rsidRPr="008B3803">
        <w:rPr>
          <w:rFonts w:ascii="Times New Roman" w:hAnsi="Times New Roman" w:cs="Times New Roman"/>
          <w:b/>
          <w:i/>
          <w:iCs/>
          <w:sz w:val="24"/>
          <w:szCs w:val="24"/>
          <w:lang w:val="en-AU"/>
        </w:rPr>
        <w:t>truncatula</w:t>
      </w:r>
      <w:proofErr w:type="spellEnd"/>
      <w:r w:rsidRPr="008B3803">
        <w:rPr>
          <w:rFonts w:ascii="Times New Roman" w:hAnsi="Times New Roman" w:cs="Times New Roman"/>
          <w:b/>
          <w:sz w:val="24"/>
          <w:szCs w:val="24"/>
          <w:lang w:val="en-AU"/>
        </w:rPr>
        <w:t xml:space="preserve"> – </w:t>
      </w:r>
      <w:proofErr w:type="spellStart"/>
      <w:r w:rsidRPr="008B3803">
        <w:rPr>
          <w:rFonts w:ascii="Times New Roman" w:hAnsi="Times New Roman" w:cs="Times New Roman"/>
          <w:b/>
          <w:i/>
          <w:iCs/>
          <w:sz w:val="24"/>
          <w:szCs w:val="24"/>
          <w:lang w:val="en-AU"/>
        </w:rPr>
        <w:t>Sinorhizobium</w:t>
      </w:r>
      <w:proofErr w:type="spellEnd"/>
      <w:r w:rsidRPr="008B3803">
        <w:rPr>
          <w:rFonts w:ascii="Times New Roman" w:hAnsi="Times New Roman" w:cs="Times New Roman"/>
          <w:b/>
          <w:i/>
          <w:iCs/>
          <w:sz w:val="24"/>
          <w:szCs w:val="24"/>
          <w:lang w:val="en-AU"/>
        </w:rPr>
        <w:t xml:space="preserve"> </w:t>
      </w:r>
      <w:r w:rsidR="00546CEA" w:rsidRPr="008B3803">
        <w:rPr>
          <w:rFonts w:ascii="Times New Roman" w:hAnsi="Times New Roman" w:cs="Times New Roman"/>
          <w:b/>
          <w:sz w:val="24"/>
          <w:szCs w:val="24"/>
          <w:lang w:val="en-AU"/>
        </w:rPr>
        <w:t xml:space="preserve">sp. </w:t>
      </w:r>
      <w:r w:rsidRPr="008B3803">
        <w:rPr>
          <w:rFonts w:ascii="Times New Roman" w:hAnsi="Times New Roman" w:cs="Times New Roman"/>
          <w:b/>
          <w:sz w:val="24"/>
          <w:szCs w:val="24"/>
          <w:lang w:val="en-AU"/>
        </w:rPr>
        <w:t>symbiosis</w:t>
      </w:r>
    </w:p>
    <w:p w14:paraId="51C448CB" w14:textId="4944749E" w:rsidR="009126C6" w:rsidRPr="008B3803" w:rsidRDefault="009126C6" w:rsidP="009126C6">
      <w:pPr>
        <w:pStyle w:val="ICLGG201701Title"/>
        <w:rPr>
          <w:rFonts w:ascii="Times New Roman" w:hAnsi="Times New Roman" w:cs="Times New Roman"/>
          <w:sz w:val="24"/>
          <w:szCs w:val="24"/>
          <w:lang w:val="en-AU"/>
        </w:rPr>
      </w:pPr>
    </w:p>
    <w:p w14:paraId="3A07A90B" w14:textId="6A8455E1" w:rsidR="009126C6" w:rsidRPr="008B3803" w:rsidRDefault="009267F7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en-AU"/>
        </w:rPr>
      </w:pPr>
      <w:r w:rsidRPr="008B3803">
        <w:rPr>
          <w:rFonts w:ascii="Times New Roman" w:hAnsi="Times New Roman" w:cs="Times New Roman"/>
          <w:sz w:val="24"/>
          <w:szCs w:val="24"/>
          <w:lang w:val="en-AU"/>
        </w:rPr>
        <w:t>Samara H</w:t>
      </w:r>
      <w:r w:rsidR="009126C6" w:rsidRPr="008B3803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8B3803">
        <w:rPr>
          <w:rFonts w:ascii="Times New Roman" w:hAnsi="Times New Roman" w:cs="Times New Roman"/>
          <w:sz w:val="24"/>
          <w:szCs w:val="24"/>
          <w:lang w:val="en-AU"/>
        </w:rPr>
        <w:t xml:space="preserve">Pradhan R, </w:t>
      </w:r>
      <w:proofErr w:type="spellStart"/>
      <w:r w:rsidRPr="008B3803">
        <w:rPr>
          <w:rFonts w:ascii="Times New Roman" w:hAnsi="Times New Roman" w:cs="Times New Roman"/>
          <w:sz w:val="24"/>
          <w:szCs w:val="24"/>
          <w:lang w:val="en-AU"/>
        </w:rPr>
        <w:t>Mehebub</w:t>
      </w:r>
      <w:proofErr w:type="spellEnd"/>
      <w:r w:rsidRPr="008B3803">
        <w:rPr>
          <w:rFonts w:ascii="Times New Roman" w:hAnsi="Times New Roman" w:cs="Times New Roman"/>
          <w:sz w:val="24"/>
          <w:szCs w:val="24"/>
          <w:lang w:val="en-AU"/>
        </w:rPr>
        <w:t xml:space="preserve"> M S, </w:t>
      </w:r>
      <w:r w:rsidR="00911B76">
        <w:rPr>
          <w:rFonts w:ascii="Times New Roman" w:hAnsi="Times New Roman" w:cs="Times New Roman"/>
          <w:sz w:val="24"/>
          <w:szCs w:val="24"/>
          <w:lang w:val="en-AU"/>
        </w:rPr>
        <w:t xml:space="preserve">Pant C, </w:t>
      </w:r>
      <w:r w:rsidRPr="008B3803">
        <w:rPr>
          <w:rFonts w:ascii="Times New Roman" w:hAnsi="Times New Roman" w:cs="Times New Roman"/>
          <w:sz w:val="24"/>
          <w:szCs w:val="24"/>
          <w:u w:val="single"/>
          <w:lang w:val="en-AU"/>
        </w:rPr>
        <w:t>Pislariu C I</w:t>
      </w:r>
    </w:p>
    <w:p w14:paraId="3E997D5E" w14:textId="77777777" w:rsidR="005C7608" w:rsidRPr="008B3803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en-AU"/>
        </w:rPr>
      </w:pPr>
    </w:p>
    <w:p w14:paraId="534EA419" w14:textId="18F69018" w:rsidR="005C7608" w:rsidRPr="008B3803" w:rsidRDefault="009267F7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8B3803">
        <w:rPr>
          <w:rFonts w:ascii="Times New Roman" w:hAnsi="Times New Roman" w:cs="Times New Roman"/>
          <w:i/>
          <w:sz w:val="24"/>
          <w:szCs w:val="24"/>
          <w:lang w:val="en-AU"/>
        </w:rPr>
        <w:t>cpislariu@twu.edu</w:t>
      </w:r>
    </w:p>
    <w:p w14:paraId="52ECECED" w14:textId="77777777" w:rsidR="009126C6" w:rsidRPr="008B3803" w:rsidRDefault="009126C6" w:rsidP="00A72105">
      <w:pPr>
        <w:pStyle w:val="ICLGG201799Emptyrow"/>
        <w:ind w:firstLine="0"/>
        <w:rPr>
          <w:rFonts w:ascii="Times New Roman" w:hAnsi="Times New Roman" w:cs="Times New Roman"/>
          <w:i/>
          <w:sz w:val="24"/>
          <w:szCs w:val="24"/>
          <w:lang w:val="en-AU"/>
        </w:rPr>
      </w:pPr>
    </w:p>
    <w:p w14:paraId="664A2972" w14:textId="1FFB6906" w:rsidR="009126C6" w:rsidRPr="008B3803" w:rsidRDefault="009267F7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8B3803">
        <w:rPr>
          <w:rFonts w:ascii="Times New Roman" w:hAnsi="Times New Roman" w:cs="Times New Roman"/>
          <w:sz w:val="24"/>
          <w:szCs w:val="24"/>
          <w:lang w:val="en-AU"/>
        </w:rPr>
        <w:t>Division of Biology</w:t>
      </w:r>
      <w:r w:rsidR="009126C6" w:rsidRPr="008B3803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8B3803">
        <w:rPr>
          <w:rFonts w:ascii="Times New Roman" w:hAnsi="Times New Roman" w:cs="Times New Roman"/>
          <w:sz w:val="24"/>
          <w:szCs w:val="24"/>
          <w:lang w:val="en-AU"/>
        </w:rPr>
        <w:t xml:space="preserve">Texas Woman’s </w:t>
      </w:r>
      <w:r w:rsidR="009126C6" w:rsidRPr="008B3803">
        <w:rPr>
          <w:rFonts w:ascii="Times New Roman" w:hAnsi="Times New Roman" w:cs="Times New Roman"/>
          <w:sz w:val="24"/>
          <w:szCs w:val="24"/>
          <w:lang w:val="en-AU"/>
        </w:rPr>
        <w:t xml:space="preserve">University, </w:t>
      </w:r>
      <w:r w:rsidRPr="008B3803">
        <w:rPr>
          <w:rFonts w:ascii="Times New Roman" w:hAnsi="Times New Roman" w:cs="Times New Roman"/>
          <w:sz w:val="24"/>
          <w:szCs w:val="24"/>
          <w:lang w:val="en-AU"/>
        </w:rPr>
        <w:t>Denton</w:t>
      </w:r>
      <w:r w:rsidR="009126C6" w:rsidRPr="008B3803">
        <w:rPr>
          <w:rFonts w:ascii="Times New Roman" w:hAnsi="Times New Roman" w:cs="Times New Roman"/>
          <w:sz w:val="24"/>
          <w:szCs w:val="24"/>
          <w:lang w:val="en-AU"/>
        </w:rPr>
        <w:t>, USA</w:t>
      </w:r>
    </w:p>
    <w:p w14:paraId="740171DE" w14:textId="77777777" w:rsidR="005C7608" w:rsidRPr="008B3803" w:rsidRDefault="005C7608" w:rsidP="005C7608">
      <w:pPr>
        <w:pStyle w:val="ICLGG201704Body"/>
        <w:ind w:firstLine="0"/>
        <w:rPr>
          <w:rFonts w:ascii="Times New Roman" w:hAnsi="Times New Roman" w:cs="Times New Roman"/>
          <w:iCs/>
          <w:sz w:val="24"/>
          <w:szCs w:val="24"/>
          <w:lang w:val="en-AU"/>
        </w:rPr>
      </w:pPr>
    </w:p>
    <w:p w14:paraId="094C943E" w14:textId="26A8C2B5" w:rsidR="00546CEA" w:rsidRPr="008B3803" w:rsidRDefault="00D32106" w:rsidP="0069354D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  <w:r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>Symbiotic nitrogen fixation (SNF) is a complex process regulated by thousands of legume host and nitrogen fixing symbiont genes. Tobacco retrotransposon (</w:t>
      </w:r>
      <w:r w:rsidRPr="008B3803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Tnt1</w:t>
      </w:r>
      <w:r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)-insertion mutagenesis has been instrumental </w:t>
      </w:r>
      <w:r w:rsidR="00546CEA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in </w:t>
      </w:r>
      <w:r w:rsidR="002F04C0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the </w:t>
      </w:r>
      <w:r w:rsidR="00546CEA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>discover</w:t>
      </w:r>
      <w:r w:rsidR="002F04C0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>y of</w:t>
      </w:r>
      <w:r w:rsidR="00546CEA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new genetic controls of SNF </w:t>
      </w:r>
      <w:r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in the model legume </w:t>
      </w:r>
      <w:r w:rsidRPr="008B3803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Medicago truncatula</w:t>
      </w:r>
      <w:r w:rsidR="00546CEA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. A foward genetic screening identified the Nodule-specific Polycystin-1, Lipoxygenase, Alpha-Toxin (PLAT) Domain-encoding gene, </w:t>
      </w:r>
      <w:r w:rsidR="00546CEA" w:rsidRPr="008B3803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MtNPD1</w:t>
      </w:r>
      <w:r w:rsidR="00546CEA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, which is essential for root nodule development, survival of </w:t>
      </w:r>
      <w:r w:rsidR="00546CEA" w:rsidRPr="008B3803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Sinorhizobium</w:t>
      </w:r>
      <w:r w:rsidR="00546CEA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sp. inside infected cells, and efficient nitrogen fixation.</w:t>
      </w:r>
    </w:p>
    <w:p w14:paraId="779CB8AD" w14:textId="77777777" w:rsidR="00546CEA" w:rsidRPr="008B3803" w:rsidRDefault="00546CEA" w:rsidP="0069354D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1F91E93C" w14:textId="2646CBD1" w:rsidR="0069354D" w:rsidRPr="008B3803" w:rsidRDefault="00546CEA" w:rsidP="0069354D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  <w:r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>We previously reported that</w:t>
      </w:r>
      <w:r w:rsidR="00582BB9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, in </w:t>
      </w:r>
      <w:r w:rsidR="00582BB9" w:rsidRPr="008B3803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npd1</w:t>
      </w:r>
      <w:r w:rsidR="00582BB9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nodules,</w:t>
      </w:r>
      <w:r w:rsidR="00925362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925362" w:rsidRPr="008B3803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S. meliloti</w:t>
      </w:r>
      <w:r w:rsidR="00925362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Sm1021 fail to mature </w:t>
      </w:r>
      <w:r w:rsidR="004E2BBD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>a</w:t>
      </w:r>
      <w:r w:rsidR="00582BB9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>nd undergo early senescence</w:t>
      </w:r>
      <w:r w:rsidR="00261EA5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, while </w:t>
      </w:r>
      <w:r w:rsidR="00E73353" w:rsidRPr="008B3803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S. meliloti</w:t>
      </w:r>
      <w:r w:rsidR="00E73353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Rm41 </w:t>
      </w:r>
      <w:r w:rsidR="00261EA5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>differentiate and fix nitrogen</w:t>
      </w:r>
      <w:r w:rsidR="00EF4AB9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>, thus reversing the mutant phenotype into wild type</w:t>
      </w:r>
      <w:r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>.</w:t>
      </w:r>
      <w:r w:rsidR="00E73353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E73353" w:rsidRPr="008B3803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MtNPD1</w:t>
      </w:r>
      <w:r w:rsidR="00E73353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is predicted to </w:t>
      </w:r>
      <w:r w:rsidR="0066236F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>play a role in facilitating or restricting effective nodulation</w:t>
      </w:r>
      <w:r w:rsidR="00E73353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66236F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in </w:t>
      </w:r>
      <w:r w:rsidR="0066236F" w:rsidRPr="008B3803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M. truncatula</w:t>
      </w:r>
      <w:r w:rsidR="00426C7B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[1].</w:t>
      </w:r>
    </w:p>
    <w:p w14:paraId="485ED513" w14:textId="77777777" w:rsidR="0066236F" w:rsidRPr="008B3803" w:rsidRDefault="0066236F" w:rsidP="0069354D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03050DE8" w14:textId="0F142A94" w:rsidR="00582BB9" w:rsidRPr="008B3803" w:rsidRDefault="00582BB9" w:rsidP="0069354D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  <w:r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 </w:t>
      </w:r>
      <w:r w:rsidR="0066236F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systematic analysis of </w:t>
      </w:r>
      <w:r w:rsidR="00072E39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>h</w:t>
      </w:r>
      <w:r w:rsidR="0066236F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ost strain compatibility using </w:t>
      </w:r>
      <w:r w:rsidR="0066236F" w:rsidRPr="008B3803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Sinorhizobium</w:t>
      </w:r>
      <w:r w:rsidR="0066236F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strains representing a range of secretion systems</w:t>
      </w:r>
      <w:r w:rsidR="00737B21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uncovered three </w:t>
      </w:r>
      <w:r w:rsidR="00737B21" w:rsidRPr="008B3803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S. meliloti</w:t>
      </w:r>
      <w:r w:rsidR="00737B21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strains that induce wild type-like nodules in </w:t>
      </w:r>
      <w:r w:rsidR="00737B21" w:rsidRPr="008B3803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npd1</w:t>
      </w:r>
      <w:r w:rsidR="00737B21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: Rm41, T073, and M10. In contrast, </w:t>
      </w:r>
      <w:r w:rsidR="00737B21" w:rsidRPr="008B3803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S. meliloti</w:t>
      </w:r>
      <w:r w:rsidR="00737B21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Sm1021 and </w:t>
      </w:r>
      <w:r w:rsidR="00737B21" w:rsidRPr="008B3803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S. medicae</w:t>
      </w:r>
      <w:r w:rsidR="00737B21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A321 and WSM419 induce deffective </w:t>
      </w:r>
      <w:r w:rsidR="00737B21" w:rsidRPr="008B3803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npd1</w:t>
      </w:r>
      <w:r w:rsidR="00737B21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nodules. </w:t>
      </w:r>
      <w:r w:rsidR="00DE5B0F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>A phenotype-informed pangenome analysis to identify relevant bacterial gene clusters will be discussed.</w:t>
      </w:r>
      <w:r w:rsidR="00426C7B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DE5B0F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>U</w:t>
      </w:r>
      <w:r w:rsidR="0013259F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>nique insights into paired transcriptional responses in the</w:t>
      </w:r>
      <w:r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Pr="008B3803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MtNPD1</w:t>
      </w:r>
      <w:r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>-mediated</w:t>
      </w:r>
      <w:r w:rsidR="0013259F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host-strain compatibility</w:t>
      </w:r>
      <w:r w:rsidR="00DE5B0F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were gained by dual RNA-Seq</w:t>
      </w:r>
      <w:r w:rsidR="0013259F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. </w:t>
      </w:r>
      <w:r w:rsidR="00DE5B0F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To facilitate the tracking of infections in single inoculations and in competition studies involving multiple strains, we developed </w:t>
      </w:r>
      <w:r w:rsidR="005F2517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 collection </w:t>
      </w:r>
      <w:r w:rsidR="009E6181" w:rsidRPr="008B3803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Sinorhizobium</w:t>
      </w:r>
      <w:r w:rsidR="009E6181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sp. strains</w:t>
      </w:r>
      <w:r w:rsidR="009E6181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constitutively expressing</w:t>
      </w:r>
      <w:r w:rsidR="005F2517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green-, red, cyan-, and yellow-fluorescent </w:t>
      </w:r>
      <w:r w:rsidR="009E6181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>proteins</w:t>
      </w:r>
      <w:r w:rsidR="005F2517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. How reporters influence nodulation will </w:t>
      </w:r>
      <w:r w:rsidR="00DE5B0F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also </w:t>
      </w:r>
      <w:r w:rsidR="005F2517" w:rsidRPr="008B3803">
        <w:rPr>
          <w:rFonts w:ascii="Times New Roman" w:hAnsi="Times New Roman" w:cs="Times New Roman"/>
          <w:sz w:val="24"/>
          <w:szCs w:val="24"/>
          <w:lang w:val="la-Latn" w:eastAsia="en-AU"/>
        </w:rPr>
        <w:t>be discussed.</w:t>
      </w:r>
    </w:p>
    <w:p w14:paraId="6686E3B6" w14:textId="77777777" w:rsidR="009126C6" w:rsidRPr="008B3803" w:rsidRDefault="009126C6" w:rsidP="005F2517">
      <w:pPr>
        <w:pStyle w:val="ICLGG201799Emptyrow"/>
        <w:ind w:firstLine="0"/>
        <w:rPr>
          <w:rFonts w:ascii="Times New Roman" w:hAnsi="Times New Roman" w:cs="Times New Roman"/>
          <w:sz w:val="24"/>
          <w:szCs w:val="24"/>
          <w:lang w:val="en-AU"/>
        </w:rPr>
      </w:pPr>
    </w:p>
    <w:p w14:paraId="5FDAA890" w14:textId="77777777" w:rsidR="009126C6" w:rsidRPr="008B3803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8B3803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33910501" w14:textId="1CDF4A2E" w:rsidR="00E9145E" w:rsidRPr="008B3803" w:rsidRDefault="009126C6" w:rsidP="009E6181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8B3803">
        <w:rPr>
          <w:rFonts w:ascii="Times New Roman" w:hAnsi="Times New Roman" w:cs="Times New Roman"/>
          <w:sz w:val="24"/>
          <w:szCs w:val="24"/>
          <w:lang w:val="en-AU"/>
        </w:rPr>
        <w:t>[1]</w:t>
      </w:r>
      <w:r w:rsidRPr="008B3803">
        <w:rPr>
          <w:rFonts w:ascii="Times New Roman" w:hAnsi="Times New Roman" w:cs="Times New Roman"/>
          <w:sz w:val="24"/>
          <w:szCs w:val="24"/>
          <w:lang w:val="en-AU"/>
        </w:rPr>
        <w:tab/>
      </w:r>
      <w:r w:rsidR="00426C7B" w:rsidRPr="008B3803">
        <w:rPr>
          <w:rFonts w:ascii="Times New Roman" w:hAnsi="Times New Roman" w:cs="Times New Roman"/>
          <w:sz w:val="24"/>
          <w:szCs w:val="24"/>
          <w:lang w:val="en-AU"/>
        </w:rPr>
        <w:t xml:space="preserve">Pislariu C.I. et al. </w:t>
      </w:r>
      <w:r w:rsidR="009E6181" w:rsidRPr="008B3803">
        <w:rPr>
          <w:rFonts w:ascii="Times New Roman" w:hAnsi="Times New Roman" w:cs="Times New Roman"/>
          <w:sz w:val="24"/>
          <w:szCs w:val="24"/>
          <w:lang w:val="en-AU"/>
        </w:rPr>
        <w:t xml:space="preserve">(2019) </w:t>
      </w:r>
      <w:r w:rsidR="00426C7B" w:rsidRPr="008B3803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426C7B" w:rsidRPr="008B3803">
        <w:rPr>
          <w:rFonts w:ascii="Times New Roman" w:hAnsi="Times New Roman" w:cs="Times New Roman"/>
          <w:sz w:val="24"/>
          <w:szCs w:val="24"/>
          <w:lang w:val="en-AU"/>
        </w:rPr>
        <w:t>n</w:t>
      </w:r>
      <w:r w:rsidR="00426C7B" w:rsidRPr="008B3803">
        <w:rPr>
          <w:rFonts w:ascii="Times New Roman" w:hAnsi="Times New Roman" w:cs="Times New Roman"/>
          <w:sz w:val="24"/>
          <w:szCs w:val="24"/>
          <w:lang w:val="en-AU"/>
        </w:rPr>
        <w:t>odule-</w:t>
      </w:r>
      <w:r w:rsidR="00426C7B" w:rsidRPr="008B380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426C7B" w:rsidRPr="008B3803">
        <w:rPr>
          <w:rFonts w:ascii="Times New Roman" w:hAnsi="Times New Roman" w:cs="Times New Roman"/>
          <w:sz w:val="24"/>
          <w:szCs w:val="24"/>
          <w:lang w:val="en-AU"/>
        </w:rPr>
        <w:t xml:space="preserve">pecific PLAT </w:t>
      </w:r>
      <w:r w:rsidR="00426C7B" w:rsidRPr="008B3803">
        <w:rPr>
          <w:rFonts w:ascii="Times New Roman" w:hAnsi="Times New Roman" w:cs="Times New Roman"/>
          <w:sz w:val="24"/>
          <w:szCs w:val="24"/>
          <w:lang w:val="en-AU"/>
        </w:rPr>
        <w:t>d</w:t>
      </w:r>
      <w:r w:rsidR="00426C7B" w:rsidRPr="008B3803">
        <w:rPr>
          <w:rFonts w:ascii="Times New Roman" w:hAnsi="Times New Roman" w:cs="Times New Roman"/>
          <w:sz w:val="24"/>
          <w:szCs w:val="24"/>
          <w:lang w:val="en-AU"/>
        </w:rPr>
        <w:t xml:space="preserve">omain </w:t>
      </w:r>
      <w:r w:rsidR="00426C7B" w:rsidRPr="008B3803">
        <w:rPr>
          <w:rFonts w:ascii="Times New Roman" w:hAnsi="Times New Roman" w:cs="Times New Roman"/>
          <w:sz w:val="24"/>
          <w:szCs w:val="24"/>
          <w:lang w:val="en-AU"/>
        </w:rPr>
        <w:t>p</w:t>
      </w:r>
      <w:r w:rsidR="00426C7B" w:rsidRPr="008B3803">
        <w:rPr>
          <w:rFonts w:ascii="Times New Roman" w:hAnsi="Times New Roman" w:cs="Times New Roman"/>
          <w:sz w:val="24"/>
          <w:szCs w:val="24"/>
          <w:lang w:val="en-AU"/>
        </w:rPr>
        <w:t xml:space="preserve">rotein NPD1 </w:t>
      </w:r>
      <w:r w:rsidR="00426C7B" w:rsidRPr="008B3803">
        <w:rPr>
          <w:rFonts w:ascii="Times New Roman" w:hAnsi="Times New Roman" w:cs="Times New Roman"/>
          <w:sz w:val="24"/>
          <w:szCs w:val="24"/>
          <w:lang w:val="en-AU"/>
        </w:rPr>
        <w:t>i</w:t>
      </w:r>
      <w:r w:rsidR="00426C7B" w:rsidRPr="008B3803">
        <w:rPr>
          <w:rFonts w:ascii="Times New Roman" w:hAnsi="Times New Roman" w:cs="Times New Roman"/>
          <w:sz w:val="24"/>
          <w:szCs w:val="24"/>
          <w:lang w:val="en-AU"/>
        </w:rPr>
        <w:t xml:space="preserve">s </w:t>
      </w:r>
      <w:r w:rsidR="00426C7B" w:rsidRPr="008B3803">
        <w:rPr>
          <w:rFonts w:ascii="Times New Roman" w:hAnsi="Times New Roman" w:cs="Times New Roman"/>
          <w:sz w:val="24"/>
          <w:szCs w:val="24"/>
          <w:lang w:val="en-AU"/>
        </w:rPr>
        <w:t>r</w:t>
      </w:r>
      <w:r w:rsidR="00426C7B" w:rsidRPr="008B3803">
        <w:rPr>
          <w:rFonts w:ascii="Times New Roman" w:hAnsi="Times New Roman" w:cs="Times New Roman"/>
          <w:sz w:val="24"/>
          <w:szCs w:val="24"/>
          <w:lang w:val="en-AU"/>
        </w:rPr>
        <w:t xml:space="preserve">equired for </w:t>
      </w:r>
      <w:r w:rsidR="00426C7B" w:rsidRPr="008B3803">
        <w:rPr>
          <w:rFonts w:ascii="Times New Roman" w:hAnsi="Times New Roman" w:cs="Times New Roman"/>
          <w:sz w:val="24"/>
          <w:szCs w:val="24"/>
          <w:lang w:val="en-AU"/>
        </w:rPr>
        <w:t>n</w:t>
      </w:r>
      <w:r w:rsidR="00426C7B" w:rsidRPr="008B3803">
        <w:rPr>
          <w:rFonts w:ascii="Times New Roman" w:hAnsi="Times New Roman" w:cs="Times New Roman"/>
          <w:sz w:val="24"/>
          <w:szCs w:val="24"/>
          <w:lang w:val="en-AU"/>
        </w:rPr>
        <w:t>itrogen-</w:t>
      </w:r>
      <w:r w:rsidR="00426C7B" w:rsidRPr="008B3803">
        <w:rPr>
          <w:rFonts w:ascii="Times New Roman" w:hAnsi="Times New Roman" w:cs="Times New Roman"/>
          <w:sz w:val="24"/>
          <w:szCs w:val="24"/>
          <w:lang w:val="en-AU"/>
        </w:rPr>
        <w:t>f</w:t>
      </w:r>
      <w:r w:rsidR="00426C7B" w:rsidRPr="008B3803">
        <w:rPr>
          <w:rFonts w:ascii="Times New Roman" w:hAnsi="Times New Roman" w:cs="Times New Roman"/>
          <w:sz w:val="24"/>
          <w:szCs w:val="24"/>
          <w:lang w:val="en-AU"/>
        </w:rPr>
        <w:t xml:space="preserve">ixing </w:t>
      </w:r>
      <w:r w:rsidR="00426C7B" w:rsidRPr="008B380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426C7B" w:rsidRPr="008B3803">
        <w:rPr>
          <w:rFonts w:ascii="Times New Roman" w:hAnsi="Times New Roman" w:cs="Times New Roman"/>
          <w:sz w:val="24"/>
          <w:szCs w:val="24"/>
          <w:lang w:val="en-AU"/>
        </w:rPr>
        <w:t>ymbiosis</w:t>
      </w:r>
      <w:r w:rsidR="00426C7B" w:rsidRPr="008B3803">
        <w:rPr>
          <w:rFonts w:ascii="Times New Roman" w:hAnsi="Times New Roman" w:cs="Times New Roman"/>
          <w:sz w:val="24"/>
          <w:szCs w:val="24"/>
          <w:lang w:val="en-AU"/>
        </w:rPr>
        <w:t>, Plant</w:t>
      </w:r>
      <w:r w:rsidR="009E6181" w:rsidRPr="008B3803">
        <w:rPr>
          <w:rFonts w:ascii="Times New Roman" w:hAnsi="Times New Roman" w:cs="Times New Roman"/>
          <w:sz w:val="24"/>
          <w:szCs w:val="24"/>
          <w:lang w:val="en-AU"/>
        </w:rPr>
        <w:t xml:space="preserve"> Physiology, vol. 180, no. 3, p. 1480.</w:t>
      </w:r>
      <w:r w:rsidR="00E9145E" w:rsidRPr="008B380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sectPr w:rsidR="00E9145E" w:rsidRPr="008B3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54518"/>
    <w:multiLevelType w:val="hybridMultilevel"/>
    <w:tmpl w:val="BC6897CC"/>
    <w:lvl w:ilvl="0" w:tplc="EF5AF8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30CE1"/>
    <w:rsid w:val="00072E39"/>
    <w:rsid w:val="00086C6E"/>
    <w:rsid w:val="000B21D5"/>
    <w:rsid w:val="0011541E"/>
    <w:rsid w:val="0013259F"/>
    <w:rsid w:val="001956AD"/>
    <w:rsid w:val="001D72AC"/>
    <w:rsid w:val="00234A08"/>
    <w:rsid w:val="00261EA5"/>
    <w:rsid w:val="002B7ABD"/>
    <w:rsid w:val="002F04C0"/>
    <w:rsid w:val="003E7225"/>
    <w:rsid w:val="00426C7B"/>
    <w:rsid w:val="00477E9B"/>
    <w:rsid w:val="004E2BBD"/>
    <w:rsid w:val="00546CEA"/>
    <w:rsid w:val="00582BB9"/>
    <w:rsid w:val="005C2ABC"/>
    <w:rsid w:val="005C7608"/>
    <w:rsid w:val="005F2517"/>
    <w:rsid w:val="0066236F"/>
    <w:rsid w:val="0069354D"/>
    <w:rsid w:val="006C1D10"/>
    <w:rsid w:val="00737B21"/>
    <w:rsid w:val="007465CD"/>
    <w:rsid w:val="00771CA6"/>
    <w:rsid w:val="007C1B7A"/>
    <w:rsid w:val="008B3803"/>
    <w:rsid w:val="008E0EA1"/>
    <w:rsid w:val="00902EEC"/>
    <w:rsid w:val="00911B76"/>
    <w:rsid w:val="009126C6"/>
    <w:rsid w:val="00925362"/>
    <w:rsid w:val="009267F7"/>
    <w:rsid w:val="00954065"/>
    <w:rsid w:val="009C49E6"/>
    <w:rsid w:val="009E6181"/>
    <w:rsid w:val="00A72105"/>
    <w:rsid w:val="00BE0837"/>
    <w:rsid w:val="00BE396B"/>
    <w:rsid w:val="00D32106"/>
    <w:rsid w:val="00DE5B0F"/>
    <w:rsid w:val="00E73353"/>
    <w:rsid w:val="00E80A77"/>
    <w:rsid w:val="00E9145E"/>
    <w:rsid w:val="00EA7F59"/>
    <w:rsid w:val="00EF022F"/>
    <w:rsid w:val="00EF4AB9"/>
    <w:rsid w:val="00F2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paragraph" w:styleId="ListParagraph">
    <w:name w:val="List Paragraph"/>
    <w:basedOn w:val="Normal"/>
    <w:uiPriority w:val="34"/>
    <w:qFormat/>
    <w:rsid w:val="00E91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Catalina Pislariu</cp:lastModifiedBy>
  <cp:revision>5</cp:revision>
  <dcterms:created xsi:type="dcterms:W3CDTF">2024-04-30T11:52:00Z</dcterms:created>
  <dcterms:modified xsi:type="dcterms:W3CDTF">2024-04-30T22:55:00Z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