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Protective Role of Nettle Leaf Water Extract in Experimental NAFLD Cell Model</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Revina Beatrise Luīze</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Jēkabsons </w:t>
      </w:r>
      <w:r w:rsidDel="00000000" w:rsidR="00000000" w:rsidRPr="00000000">
        <w:rPr>
          <w:rFonts w:ascii="Calibri" w:cs="Calibri" w:eastAsia="Calibri" w:hAnsi="Calibri"/>
          <w:sz w:val="20"/>
          <w:szCs w:val="20"/>
          <w:rtl w:val="0"/>
        </w:rPr>
        <w:t xml:space="preserve">Kaspars</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Muceniece </w:t>
      </w:r>
      <w:r w:rsidDel="00000000" w:rsidR="00000000" w:rsidRPr="00000000">
        <w:rPr>
          <w:rFonts w:ascii="Calibri" w:cs="Calibri" w:eastAsia="Calibri" w:hAnsi="Calibri"/>
          <w:sz w:val="20"/>
          <w:szCs w:val="20"/>
          <w:rtl w:val="0"/>
        </w:rPr>
        <w:t xml:space="preserve">Ruta</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Jansone Baiba</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Faculty of Medicine and Life Sciences, University of </w:t>
      </w:r>
      <w:r w:rsidDel="00000000" w:rsidR="00000000" w:rsidRPr="00000000">
        <w:rPr>
          <w:rFonts w:ascii="Calibri" w:cs="Calibri" w:eastAsia="Calibri" w:hAnsi="Calibri"/>
          <w:sz w:val="20"/>
          <w:szCs w:val="20"/>
          <w:rtl w:val="0"/>
        </w:rPr>
        <w:t xml:space="preserve">Latvia</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Riga, Latvia .</w:t>
      </w: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Introduction.</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Urtica dioica (stinging nettle) has been reported to improve lipid metabolism, enhance fatty acid oxidation (FAO), and reduce hepatic oxidative stress. Excessive fatty acid uptake induces lipid droplet formation in hepatocytes, driving non-alcoholic fatty liver disease (NAFLD) progression from steatosis to inflammation and fibrosis. The impact of nettle extracts on mitochondrial function during steatosis, however, remains poorly understood.</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This study investigated the hepatoprotective potential of aqueous nettle leaf extract in an in vitro HepG2 steatosis model, focusing on mitochondrial FAO capacity.</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Methods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HepG2 cells were treated with a 2:1 oleate:palmitate mixture (0.5 mM) to induce steatosis and/or nettle extract (6.25 mg/mL) for 24 h. Oxidative stress was modeled using tert-butyl hydroperoxide (0.5 mM). Lipid accumulation was assessed via Nile red staining, and cell viability was measured with CCK-8 assays. Mitochondrial respiration was analyzed in digitonin-permeabilized cells using high-resolution respirometry (Oroboros O2k) and sequential substrate–inhibitor titrations to evaluate FAO-linked OXPHOS and electron transport capacity. Data were analyzed by one-way ANOVA (p ≤ 0.05).</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Results.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Oxidative stress reduced HepG2 viability by ~40%, which was partially rescued by nettle extract (IC₅₀ = 6.314 mg/mL). Fatty acid overload doubled intracellular lipid content, whereas nettle treatment attenuated lipid droplet formation in a dose-dependent manner (IC₅₀ = 5.560 mg/mL). Respirometry showed that lipid overload impaired complex I–linked FAO respiration (FN-OXPHOS), which was restored to control levels by nettle treatment (p=0.0018 vs. the control). No significant effects were observed in other respiratory states.</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Discussion.</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Urtica dioica leaf extract mitigates oxidative stress and lipid-induced cytotoxicity in HepG2 cells and preserves mitochondrial FAO capacity under steatotic conditions. These findings support its potential as a hepatoprotective agent in early NAFLD and highlight mitochondrial function as a therapeutic target.</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Acknowledgements:</w:t>
      </w:r>
      <w:r w:rsidDel="00000000" w:rsidR="00000000" w:rsidRPr="00000000">
        <w:rPr>
          <w:rFonts w:ascii="Calibri" w:cs="Calibri" w:eastAsia="Calibri" w:hAnsi="Calibri"/>
          <w:sz w:val="20"/>
          <w:szCs w:val="20"/>
          <w:rtl w:val="0"/>
        </w:rPr>
        <w:t xml:space="preserve"> Supported by University of Latvia Foundation (grant No. 2269). No conflicts.</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Alimoddin M (2024) J Herb Med 48:100935.</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Samakar B, Mehri S, Hosseinzadeh H (2022) Iran J Basic Med Sci 25:543-553.</w:t>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RISoEDKAUPrRDSEZVo8E0tXsw==">CgMxLjA4AHIhMWlyaXN1eU9qX0d0S0lyVTViWUZFOHlPQWRWam5BZURT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2025-01-04T00:52:00Z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lcf76f155ced4ddcb4097134ff3c332f">
    <vt:lpstr/>
  </property>
  <property fmtid="{D5CDD505-2E9C-101B-9397-08002B2CF9AE}" pid="4" name="TaxCatchAll">
    <vt:lpstr/>
  </property>
</Properties>
</file>