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557CF">
      <w:pPr>
        <w:jc w:val="both"/>
      </w:pPr>
      <w:r>
        <w:rPr>
          <w:rFonts w:ascii="Calibri" w:hAnsi="Calibri" w:eastAsia="Calibri"/>
          <w:b/>
          <w:sz w:val="20"/>
        </w:rPr>
        <w:t>Amiodarone with factor Xa inhibitors in atrial fibrillation: three prospective cohorts</w:t>
      </w:r>
    </w:p>
    <w:p w14:paraId="444E6663">
      <w:pPr>
        <w:jc w:val="both"/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  <w:t>Zi Wang</w:t>
      </w:r>
      <w:r>
        <w:rPr>
          <w:rFonts w:ascii="Calibri" w:hAnsi="Calibri" w:eastAsia="Calibri"/>
          <w:sz w:val="20"/>
          <w:vertAlign w:val="superscript"/>
        </w:rPr>
        <w:t>1</w:t>
      </w:r>
      <w:r>
        <w:rPr>
          <w:rFonts w:ascii="Calibri" w:hAnsi="Calibri" w:eastAsia="Calibri"/>
          <w:sz w:val="20"/>
        </w:rPr>
        <w:t xml:space="preserve">, </w:t>
      </w:r>
      <w:r>
        <w:rPr>
          <w:rFonts w:hint="eastAsia" w:ascii="Calibri" w:hAnsi="Calibri" w:eastAsia="宋体"/>
          <w:sz w:val="20"/>
          <w:lang w:val="en-US" w:eastAsia="zh-CN"/>
        </w:rPr>
        <w:t>Qing Xu</w:t>
      </w:r>
      <w:r>
        <w:rPr>
          <w:rFonts w:ascii="Calibri" w:hAnsi="Calibri" w:eastAsia="Calibri"/>
          <w:sz w:val="20"/>
          <w:vertAlign w:val="superscript"/>
        </w:rPr>
        <w:t>1</w:t>
      </w:r>
      <w:r>
        <w:rPr>
          <w:rFonts w:ascii="Calibri" w:hAnsi="Calibri" w:eastAsia="Calibri"/>
          <w:sz w:val="20"/>
        </w:rPr>
        <w:t>, Xiaoy</w:t>
      </w:r>
      <w:r>
        <w:rPr>
          <w:rFonts w:hint="eastAsia" w:ascii="Calibri" w:hAnsi="Calibri" w:eastAsia="宋体"/>
          <w:sz w:val="20"/>
          <w:lang w:val="en-US" w:eastAsia="zh-CN"/>
        </w:rPr>
        <w:t>u</w:t>
      </w:r>
      <w:r>
        <w:rPr>
          <w:rFonts w:ascii="Calibri" w:hAnsi="Calibri" w:eastAsia="Calibri"/>
          <w:sz w:val="20"/>
        </w:rPr>
        <w:t xml:space="preserve"> Li</w:t>
      </w:r>
      <w:r>
        <w:rPr>
          <w:rFonts w:ascii="Calibri" w:hAnsi="Calibri" w:eastAsia="Calibri"/>
          <w:sz w:val="20"/>
          <w:vertAlign w:val="superscript"/>
        </w:rPr>
        <w:t>1</w:t>
      </w:r>
      <w:r>
        <w:rPr>
          <w:rFonts w:ascii="Calibri" w:hAnsi="Calibri" w:eastAsia="Calibri"/>
          <w:sz w:val="20"/>
        </w:rPr>
        <w:t>, Qianzhou Lv</w:t>
      </w:r>
      <w:r>
        <w:rPr>
          <w:rFonts w:ascii="Calibri" w:hAnsi="Calibri" w:eastAsia="Calibri"/>
          <w:sz w:val="20"/>
          <w:vertAlign w:val="superscript"/>
        </w:rPr>
        <w:t>1</w:t>
      </w:r>
      <w:r>
        <w:rPr>
          <w:rFonts w:ascii="Calibri" w:hAnsi="Calibri" w:eastAsia="Calibri"/>
          <w:sz w:val="20"/>
        </w:rPr>
        <w:t>. Department of Pharmacy, Zhongshan Hospital, Fudan University, Shanghai, China.</w:t>
      </w:r>
    </w:p>
    <w:p w14:paraId="10B54CEB">
      <w:pPr>
        <w:jc w:val="both"/>
        <w:rPr>
          <w:rFonts w:ascii="Calibri" w:hAnsi="Calibri" w:eastAsia="Calibri"/>
          <w:b/>
          <w:bCs/>
          <w:sz w:val="20"/>
        </w:rPr>
      </w:pPr>
      <w:r>
        <w:pict>
          <v:shape id="_x0000_s1026" o:spid="_x0000_s1026" o:spt="75" type="#_x0000_t75" style="position:absolute;left:0pt;margin-left:290.4pt;margin-top:7.65pt;height:88.1pt;width:194.4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  <v:path/>
            <v:fill on="f" focussize="0,0"/>
            <v:stroke on="f"/>
            <v:imagedata r:id="rId4" o:title=""/>
            <o:lock v:ext="edit" aspectratio="t"/>
            <w10:wrap type="tight"/>
          </v:shape>
        </w:pict>
      </w:r>
    </w:p>
    <w:p w14:paraId="42A7ADDF">
      <w:pPr>
        <w:jc w:val="both"/>
      </w:pPr>
      <w:r>
        <w:rPr>
          <w:rFonts w:ascii="Calibri" w:hAnsi="Calibri" w:eastAsia="Calibri"/>
          <w:b/>
          <w:bCs/>
          <w:sz w:val="20"/>
        </w:rPr>
        <w:t xml:space="preserve">Introduction. </w:t>
      </w:r>
      <w:r>
        <w:rPr>
          <w:rFonts w:ascii="Calibri" w:hAnsi="Calibri" w:eastAsia="Calibri"/>
          <w:sz w:val="20"/>
        </w:rPr>
        <w:t>P-glycoprotein/CYP3A4 inhibition may increase rivaroxaban exposure and bleeding.</w:t>
      </w:r>
    </w:p>
    <w:p w14:paraId="5A805B9C">
      <w:pPr>
        <w:jc w:val="both"/>
      </w:pPr>
      <w:r>
        <w:rPr>
          <w:rFonts w:ascii="Calibri" w:hAnsi="Calibri" w:eastAsia="Calibri"/>
          <w:b/>
          <w:bCs/>
          <w:sz w:val="20"/>
        </w:rPr>
        <w:t xml:space="preserve">Aims. </w:t>
      </w:r>
      <w:r>
        <w:rPr>
          <w:rFonts w:ascii="Calibri" w:hAnsi="Calibri" w:eastAsia="Calibri"/>
          <w:sz w:val="20"/>
        </w:rPr>
        <w:t>To assess rivaroxaban exposure and bleeding risk with amiodarone and to compare bleeding risk between rivaroxaban and edoxaban with and without amiodarone, using three prospective cohorts.</w:t>
      </w:r>
    </w:p>
    <w:p w14:paraId="3CC3C6DB">
      <w:pPr>
        <w:jc w:val="both"/>
      </w:pPr>
      <w:r>
        <w:rPr>
          <w:rFonts w:ascii="Calibri" w:hAnsi="Calibri" w:eastAsia="Calibri"/>
          <w:b/>
          <w:bCs/>
          <w:sz w:val="20"/>
        </w:rPr>
        <w:t xml:space="preserve">Methods. </w:t>
      </w:r>
      <w:r>
        <w:rPr>
          <w:rFonts w:ascii="Calibri" w:hAnsi="Calibri" w:eastAsia="Calibri"/>
          <w:sz w:val="20"/>
        </w:rPr>
        <w:t xml:space="preserve">Cohort-1 enrolled </w:t>
      </w:r>
      <w:r>
        <w:rPr>
          <w:rFonts w:hint="eastAsia" w:ascii="Calibri" w:hAnsi="Calibri" w:eastAsia="宋体"/>
          <w:sz w:val="20"/>
          <w:lang w:val="en-US" w:eastAsia="zh-CN"/>
        </w:rPr>
        <w:t xml:space="preserve">atrial fibrillation </w:t>
      </w:r>
      <w:r>
        <w:rPr>
          <w:rFonts w:hint="default" w:ascii="Calibri" w:hAnsi="Calibri" w:eastAsia="宋体"/>
          <w:sz w:val="20"/>
          <w:lang w:val="en-US" w:eastAsia="zh-CN"/>
        </w:rPr>
        <w:t>(</w:t>
      </w:r>
      <w:r>
        <w:rPr>
          <w:rFonts w:ascii="Calibri" w:hAnsi="Calibri" w:eastAsia="Calibri"/>
          <w:sz w:val="20"/>
        </w:rPr>
        <w:t>AF</w:t>
      </w:r>
      <w:r>
        <w:rPr>
          <w:rFonts w:hint="default" w:ascii="Calibri" w:hAnsi="Calibri" w:eastAsia="Calibri"/>
          <w:sz w:val="20"/>
          <w:lang w:val="en-US"/>
        </w:rPr>
        <w:t>)</w:t>
      </w:r>
      <w:r>
        <w:rPr>
          <w:rFonts w:ascii="Calibri" w:hAnsi="Calibri" w:eastAsia="Calibri"/>
          <w:sz w:val="20"/>
        </w:rPr>
        <w:t xml:space="preserve"> patients treated with rivaroxaban (alone vs with amiodarone). Cohort-2</w:t>
      </w:r>
      <w:r>
        <w:rPr>
          <w:rFonts w:hint="eastAsia" w:ascii="Calibri" w:hAnsi="Calibri" w:eastAsia="宋体"/>
          <w:sz w:val="20"/>
          <w:lang w:val="en-US" w:eastAsia="zh-CN"/>
        </w:rPr>
        <w:t xml:space="preserve"> </w:t>
      </w:r>
      <w:r>
        <w:rPr>
          <w:rFonts w:ascii="Calibri" w:hAnsi="Calibri" w:eastAsia="Calibri"/>
          <w:sz w:val="20"/>
        </w:rPr>
        <w:t>enrolled AF patients on stable rivaroxaban (alone vs with amiodarone); trough rivaroxaban concentration (C</w:t>
      </w:r>
      <w:r>
        <w:rPr>
          <w:rFonts w:ascii="Calibri" w:hAnsi="Calibri" w:eastAsia="Calibri"/>
          <w:sz w:val="20"/>
          <w:vertAlign w:val="subscript"/>
        </w:rPr>
        <w:t>trough</w:t>
      </w:r>
      <w:r>
        <w:rPr>
          <w:rFonts w:ascii="Calibri" w:hAnsi="Calibri" w:eastAsia="Calibri"/>
          <w:sz w:val="20"/>
        </w:rPr>
        <w:t xml:space="preserve">, 18-26 h post-dose) and </w:t>
      </w:r>
      <w:r>
        <w:rPr>
          <w:rFonts w:hint="eastAsia" w:ascii="Calibri" w:hAnsi="Calibri" w:eastAsia="Calibri"/>
          <w:sz w:val="20"/>
        </w:rPr>
        <w:t>prothrombin time</w:t>
      </w:r>
      <w:r>
        <w:rPr>
          <w:rFonts w:hint="default" w:ascii="Calibri" w:hAnsi="Calibri" w:eastAsia="Calibri"/>
          <w:sz w:val="20"/>
          <w:lang w:val="en-US"/>
        </w:rPr>
        <w:t>/activated partial thromboplastin time</w:t>
      </w:r>
      <w:r>
        <w:rPr>
          <w:rFonts w:ascii="Calibri" w:hAnsi="Calibri" w:eastAsia="Calibri"/>
          <w:sz w:val="20"/>
        </w:rPr>
        <w:t xml:space="preserve"> were measured at steady state. Cohort-3</w:t>
      </w:r>
      <w:r>
        <w:rPr>
          <w:rFonts w:hint="eastAsia" w:ascii="Calibri" w:hAnsi="Calibri" w:eastAsia="宋体"/>
          <w:sz w:val="20"/>
          <w:lang w:val="en-US" w:eastAsia="zh-CN"/>
        </w:rPr>
        <w:t xml:space="preserve"> </w:t>
      </w:r>
      <w:r>
        <w:rPr>
          <w:rFonts w:ascii="Calibri" w:hAnsi="Calibri" w:eastAsia="Calibri"/>
          <w:sz w:val="20"/>
        </w:rPr>
        <w:t>enrolled AF patients treated with rivaroxaban or edoxaban, with and without amiodarone. Propensity score methods were used where applicable. The primary endpoint was time to first ISTH-defined bleeding (major, clinically relevant non-major [CRNM], or minor).</w:t>
      </w:r>
    </w:p>
    <w:p w14:paraId="77D0CD30">
      <w:pPr>
        <w:jc w:val="both"/>
      </w:pPr>
      <w:r>
        <w:rPr>
          <w:rFonts w:ascii="Calibri" w:hAnsi="Calibri" w:eastAsia="Calibri"/>
          <w:b/>
          <w:bCs/>
          <w:sz w:val="20"/>
        </w:rPr>
        <w:t xml:space="preserve">Results. </w:t>
      </w:r>
      <w:r>
        <w:rPr>
          <w:rFonts w:ascii="Calibri" w:hAnsi="Calibri" w:eastAsia="Calibri"/>
          <w:sz w:val="20"/>
        </w:rPr>
        <w:t xml:space="preserve">Cohort-1 (n=481; </w:t>
      </w:r>
      <w:r>
        <w:rPr>
          <w:rFonts w:hint="default" w:ascii="Calibri" w:hAnsi="Calibri" w:eastAsia="Calibri"/>
          <w:sz w:val="20"/>
          <w:lang w:val="en-US"/>
        </w:rPr>
        <w:t>propensity score matching</w:t>
      </w:r>
      <w:r>
        <w:rPr>
          <w:rFonts w:ascii="Calibri" w:hAnsi="Calibri" w:eastAsia="Calibri"/>
          <w:sz w:val="20"/>
        </w:rPr>
        <w:t xml:space="preserve"> 154 pairs) showed higher bleeding with rivaroxaban plus amiodarone vs rivaroxaban alone (26.0% vs 10.4%; HR 2.76, 95% CI 1.55-4.93). Cohort-2 (n=174) showed higher C</w:t>
      </w:r>
      <w:r>
        <w:rPr>
          <w:rFonts w:ascii="Calibri" w:hAnsi="Calibri" w:eastAsia="Calibri"/>
          <w:sz w:val="20"/>
          <w:vertAlign w:val="subscript"/>
        </w:rPr>
        <w:t>trough</w:t>
      </w:r>
      <w:r>
        <w:rPr>
          <w:rFonts w:ascii="Calibri" w:hAnsi="Calibri" w:eastAsia="Calibri"/>
          <w:sz w:val="20"/>
        </w:rPr>
        <w:t xml:space="preserve"> with combination therapy in patients receiving rivaroxaban 20 mg (p=0.009) and with renal impairment; bleeding was higher with combination therapy (16.1% vs 6.3%; HR 2.83, 95% CI 1.05-7.66). Cohort-3 (n=910) showed higher bleeding for rivaroxaban plus amiodarone vs edoxaban plus amiodarone after </w:t>
      </w:r>
      <w:r>
        <w:rPr>
          <w:rFonts w:hint="default" w:ascii="Calibri" w:hAnsi="Calibri" w:eastAsia="Calibri"/>
          <w:sz w:val="20"/>
          <w:lang w:val="en-US"/>
        </w:rPr>
        <w:t>propensity score matching</w:t>
      </w:r>
      <w:r>
        <w:rPr>
          <w:rFonts w:ascii="Calibri" w:hAnsi="Calibri" w:eastAsia="Calibri"/>
          <w:sz w:val="20"/>
        </w:rPr>
        <w:t xml:space="preserve"> (18.9% vs 10.2%; HR 2.015, 95% CI 1.026-3.958), driven by CRNM and more pronounced at standard doses and in renal dysfunction.</w:t>
      </w:r>
    </w:p>
    <w:p w14:paraId="7C1AF5CE">
      <w:pPr>
        <w:jc w:val="both"/>
      </w:pPr>
      <w:r>
        <w:rPr>
          <w:rFonts w:ascii="Calibri" w:hAnsi="Calibri" w:eastAsia="Calibri"/>
          <w:b/>
          <w:bCs/>
          <w:sz w:val="20"/>
        </w:rPr>
        <w:t>Discussion.</w:t>
      </w:r>
      <w:r>
        <w:rPr>
          <w:rFonts w:ascii="Calibri" w:hAnsi="Calibri" w:eastAsia="Calibri"/>
          <w:sz w:val="20"/>
        </w:rPr>
        <w:t xml:space="preserve"> Across three cohorts, amiodarone increased rivaroxaban exposure and was consistently associated with higher bleeding risk. </w:t>
      </w:r>
      <w:r>
        <w:rPr>
          <w:rFonts w:hint="eastAsia" w:ascii="Calibri" w:hAnsi="Calibri" w:eastAsia="Calibri"/>
          <w:sz w:val="20"/>
        </w:rPr>
        <w:t>These findings suggest that edoxaban may be associated with lower bleeding risk compared with rivaroxaban when combined with amiodarone.</w:t>
      </w:r>
      <w:bookmarkStart w:id="0" w:name="_GoBack"/>
      <w:bookmarkEnd w:id="0"/>
    </w:p>
    <w:sectPr>
      <w:pgSz w:w="11906" w:h="8391" w:orient="landscape"/>
      <w:pgMar w:top="850" w:right="1134" w:bottom="850" w:left="1134" w:header="0" w:footer="0" w:gutter="0"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Liberation Serif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;Helvetica Neu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;宋体-繁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Liberation Sans">
    <w:altName w:val="苹方-简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;Times 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ADEC"/>
    <w:multiLevelType w:val="multilevel"/>
    <w:tmpl w:val="FFFEADEC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bordersDoNotSurroundHeader w:val="0"/>
  <w:bordersDoNotSurroundFooter w:val="0"/>
  <w:documentProtection w:enforcement="0"/>
  <w:defaultTabStop w:val="720"/>
  <w:autoHyphenation/>
  <w:hyphenationZone w:val="0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useFELayout/>
    <w:useAltKinsokuLineBreakRules/>
    <w:compatSetting w:name="compatibilityMode" w:uri="http://schemas.microsoft.com/office/word" w:val="11"/>
  </w:compat>
  <w:rsids>
    <w:rsidRoot w:val="00000000"/>
    <w:rsid w:val="38FB7DE4"/>
    <w:rsid w:val="7E5E5574"/>
    <w:rsid w:val="9FF17635"/>
    <w:rsid w:val="BE4E6952"/>
    <w:rsid w:val="EFBB9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b/>
      <w:kern w:val="2"/>
      <w:sz w:val="28"/>
      <w:szCs w:val="20"/>
    </w:rPr>
  </w:style>
  <w:style w:type="paragraph" w:styleId="3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120" w:after="60"/>
      <w:jc w:val="center"/>
      <w:outlineLvl w:val="2"/>
    </w:pPr>
    <w:rPr>
      <w:b/>
      <w:caps/>
      <w:szCs w:val="20"/>
    </w:rPr>
  </w:style>
  <w:style w:type="paragraph" w:styleId="4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rFonts w:ascii="Calibri;Helvetica Neue" w:hAnsi="Calibri;Helvetica Neue" w:eastAsia="PMingLiU;宋体-繁" w:cs="Times New Roman"/>
      <w:b/>
      <w:bCs/>
      <w:i/>
      <w:iCs/>
      <w:sz w:val="26"/>
      <w:szCs w:val="2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List"/>
    <w:basedOn w:val="6"/>
    <w:uiPriority w:val="0"/>
    <w:rPr>
      <w:rFonts w:cs="Lohit Devanagari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iPriority w:val="0"/>
    <w:rPr>
      <w:color w:val="0563C1"/>
      <w:u w:val="single"/>
    </w:rPr>
  </w:style>
  <w:style w:type="character" w:customStyle="1" w:styleId="12">
    <w:name w:val="默认段落字体1"/>
    <w:qFormat/>
    <w:uiPriority w:val="0"/>
  </w:style>
  <w:style w:type="character" w:customStyle="1" w:styleId="13">
    <w:name w:val="Heading 5 Char"/>
    <w:qFormat/>
    <w:uiPriority w:val="0"/>
    <w:rPr>
      <w:rFonts w:ascii="Calibri;Helvetica Neue" w:hAnsi="Calibri;Helvetica Neue" w:eastAsia="PMingLiU;宋体-繁" w:cs="Times New Roman"/>
      <w:b/>
      <w:bCs/>
      <w:i/>
      <w:iCs/>
      <w:sz w:val="26"/>
      <w:szCs w:val="26"/>
      <w:lang w:eastAsia="en-US"/>
    </w:rPr>
  </w:style>
  <w:style w:type="character" w:customStyle="1" w:styleId="14">
    <w:name w:val="Balloon Text Char"/>
    <w:qFormat/>
    <w:uiPriority w:val="0"/>
    <w:rPr>
      <w:rFonts w:ascii="Tahoma" w:hAnsi="Tahoma" w:cs="Tahoma"/>
      <w:sz w:val="16"/>
      <w:szCs w:val="16"/>
      <w:lang w:val="en-US" w:eastAsia="en-US"/>
    </w:rPr>
  </w:style>
  <w:style w:type="character" w:customStyle="1" w:styleId="15">
    <w:name w:val="Unresolved Mention"/>
    <w:qFormat/>
    <w:uiPriority w:val="0"/>
    <w:rPr>
      <w:color w:val="605E5C"/>
      <w:shd w:val="clear" w:fill="E1DFDD"/>
    </w:rPr>
  </w:style>
  <w:style w:type="paragraph" w:customStyle="1" w:styleId="16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18">
    <w:name w:val="批注框文本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19">
    <w:name w:val="正文文本缩进 31"/>
    <w:basedOn w:val="1"/>
    <w:qFormat/>
    <w:uiPriority w:val="0"/>
    <w:pPr>
      <w:spacing w:before="120" w:after="120"/>
      <w:ind w:left="-90" w:right="0" w:firstLine="0"/>
      <w:jc w:val="center"/>
    </w:pPr>
    <w:rPr>
      <w:rFonts w:ascii="Times;Times New Roman" w:hAnsi="Times;Times New Roman" w:cs="Times;Times New Roman"/>
      <w:szCs w:val="20"/>
    </w:rPr>
  </w:style>
  <w:style w:type="paragraph" w:customStyle="1" w:styleId="20">
    <w:name w:val="Default"/>
    <w:qFormat/>
    <w:uiPriority w:val="0"/>
    <w:pPr>
      <w:widowControl w:val="0"/>
      <w:suppressAutoHyphens/>
      <w:autoSpaceDE w:val="0"/>
      <w:bidi w:val="0"/>
    </w:pPr>
    <w:rPr>
      <w:rFonts w:ascii="Calibri;Helvetica Neue" w:hAnsi="Calibri;Helvetica Neue" w:eastAsia="Calibri;Helvetica Neue" w:cs="Calibri;Helvetica Neue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Office_12.1.24709.24709_F1E327BC-269C-435d-A152-05C5408002CA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2025-01-05T00:52:00Z</dcterms:created>
  <dc:creator>gillard</dc:creator>
  <cp:lastModifiedBy>wang</cp:lastModifiedBy>
  <cp:lastPrinted>2013-06-14T05:15:00Z</cp:lastPrinted>
  <dcterms:modified xsi:type="dcterms:W3CDTF">2026-02-17T10:09:38Z</dcterms:modified>
  <dc:title>Submission Format for ConnectED 2007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52ECAFF46F6CD95D54EA8D69E4E15740_42</vt:lpwstr>
  </property>
  <property fmtid="{D5CDD505-2E9C-101B-9397-08002B2CF9AE}" pid="3" name="KSOProductBuildVer">
    <vt:lpwstr>2052-12.1.24709.24709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</Properties>
</file>