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Adavosertib-mediated WEE1 inhibition improves response to cisplatin in non-seminoma testicular cancer</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Mariangela Tamburello</w:t>
      </w: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tl w:val="0"/>
        </w:rPr>
        <w:t xml:space="preserve">1</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Caterina Boldini</w:t>
      </w: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tl w:val="0"/>
        </w:rPr>
        <w:t xml:space="preserve">1</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Andrea Abate</w:t>
      </w: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tl w:val="0"/>
        </w:rPr>
        <w:t xml:space="preserve">1</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Valentina Salvi</w:t>
      </w: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tl w:val="0"/>
        </w:rPr>
        <w:t xml:space="preserve">1</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Francesca Valcamonico</w:t>
      </w: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tl w:val="0"/>
        </w:rPr>
        <w:t xml:space="preserve">2</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Marta Laganà</w:t>
      </w: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tl w:val="0"/>
        </w:rPr>
        <w:t xml:space="preserve">2</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Deborah Cosentini</w:t>
      </w: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tl w:val="0"/>
        </w:rPr>
        <w:t xml:space="preserve">2</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Nazareno R. Suardi</w:t>
      </w: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tl w:val="0"/>
        </w:rPr>
        <w:t xml:space="preserve">2</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Giuseppe Mirabella</w:t>
      </w: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tl w:val="0"/>
        </w:rPr>
        <w:t xml:space="preserve">2</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Barbara Altieri</w:t>
      </w: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tl w:val="0"/>
        </w:rPr>
        <w:t xml:space="preserve">3</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Sandra Sigala</w:t>
      </w: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tl w:val="0"/>
        </w:rPr>
        <w:t xml:space="preserve">1</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Dept of Molecular and Translational Medicine, University of Brescia</w:t>
      </w: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tl w:val="0"/>
        </w:rPr>
        <w:t xml:space="preserve">1</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Brescia, IT; Dept of Medical and Surgical Specialties, Radiological Sciences, and Public Health, University of Brescia at ASST Spedali Civili di Brescia</w:t>
      </w: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tl w:val="0"/>
        </w:rPr>
        <w:t xml:space="preserve">2</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Brescia, IT; Dept of Internal Medicine I, University Hospital, University of Würzburg</w:t>
      </w: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tl w:val="0"/>
        </w:rPr>
        <w:t xml:space="preserve">3</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Würzburg, DE.</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Introduction.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Testicular germ cell tumors (TGCTs) are the most common malignancy in young adult males with non-seminomatous representing an aggressive subtype. Although cisplatin (CP)-based chemotherapy is highly effective, a subset of patients develop resistance. Overcoming CP resistance remains a critical unmet need.</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Aims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To evaluate the expression and pharmacological targeting of WEE1, a key regulator of the G2/M checkpoint and replication stress response, in non-seminoma cell models using the selective WEE1 inhibitor adavosertib (AZD1775).</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Methods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Two non-seminoma cell lines, NCCIT and NT2/D1, and their CP-resistant subclones (NCCIT-R and NT2/D1-R) were used. The effects of adavosertib and CP, alone or in combination, on cell viability, cell-cycle progression, apoptosis, and DNA damage markers </w:t>
      </w:r>
      <w:r w:rsidDel="00000000" w:rsidR="00000000" w:rsidRPr="00000000">
        <w:rPr>
          <w:rFonts w:ascii="Calibri" w:cs="Calibri" w:eastAsia="Calibri" w:hAnsi="Calibri"/>
          <w:rtl w:val="0"/>
        </w:rPr>
        <w:t xml:space="preserve">were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assessed.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Results.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WEE1 was expressed in non-seminoma cell models. Adavosertib reduced cell viability in a dose-dependent manner across all cell models in both 2D and 3D cultures. IC₅₀ values were in the low µM range with minimal variation (NCCIT: 0.550 μM; NCCIT-R: 0.630 μM; NT2/D1: 0.415 μM; NT2/D1-R: 0.630 μM). Adavosertib altered cell-cycle distribution, increasing S-phase population. Western blot analysis showed reduced CDK1 phosphorylation, increased H3 phosphorylation (a mitotic marker), elevated markers of DNA damage (pH2Ax) and apoptosis (cleaved-PARP and cleaved-Caspase 3). In combination treatments, adavosertib enhanced CP-efficacy across all models, including resistant lines. Notably, in NCCIT-R cells, CP IC₅₀ dropped from 11.65 to 1.99 μM when combined with adavosertib.</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Discussion.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Overall, our findings demonstrate that WEE1 is expressed in non-seminoma models and is targetable. Pharmacological inhibition of WEE1 by adavosertib disrupts cell cycle checkpoints, promotes replication stress, and drives cells with unrepaired DNA damage into premature mitosis, resulting in mitotic catastrophe. Moreover, it restores cisplatin sensitivity in resistant models, showing promise against resistant testicular cancer.</w:t>
      </w:r>
    </w:p>
    <w:sectPr>
      <w:pgSz w:h="8391" w:w="11906" w:orient="landscape"/>
      <w:pgMar w:bottom="851" w:top="851"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A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name w:val="Normale"/>
    <w:next w:val="Normale"/>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Titolo1">
    <w:name w:val="Titolo 1"/>
    <w:basedOn w:val="Normale"/>
    <w:next w:val="Normale"/>
    <w:autoRedefine w:val="0"/>
    <w:hidden w:val="0"/>
    <w:qFormat w:val="0"/>
    <w:pPr>
      <w:keepNext w:val="1"/>
      <w:suppressAutoHyphens w:val="1"/>
      <w:spacing w:after="60" w:before="240" w:line="1" w:lineRule="atLeast"/>
      <w:ind w:leftChars="-1" w:rightChars="0" w:firstLineChars="-1"/>
      <w:textDirection w:val="btLr"/>
      <w:textAlignment w:val="top"/>
      <w:outlineLvl w:val="0"/>
    </w:pPr>
    <w:rPr>
      <w:b w:val="1"/>
      <w:w w:val="100"/>
      <w:kern w:val="28"/>
      <w:position w:val="-1"/>
      <w:sz w:val="28"/>
      <w:szCs w:val="20"/>
      <w:effect w:val="none"/>
      <w:vertAlign w:val="baseline"/>
      <w:cs w:val="0"/>
      <w:em w:val="none"/>
      <w:lang w:bidi="ar-SA" w:eastAsia="en-US" w:val="en-US"/>
    </w:rPr>
  </w:style>
  <w:style w:type="paragraph" w:styleId="Titolo3">
    <w:name w:val="Titolo 3"/>
    <w:basedOn w:val="Normale"/>
    <w:next w:val="Normale"/>
    <w:autoRedefine w:val="0"/>
    <w:hidden w:val="0"/>
    <w:qFormat w:val="0"/>
    <w:pPr>
      <w:keepNext w:val="1"/>
      <w:suppressAutoHyphens w:val="1"/>
      <w:spacing w:after="60" w:before="120" w:line="1" w:lineRule="atLeast"/>
      <w:ind w:leftChars="-1" w:rightChars="0" w:firstLineChars="-1"/>
      <w:jc w:val="center"/>
      <w:textDirection w:val="btLr"/>
      <w:textAlignment w:val="top"/>
      <w:outlineLvl w:val="2"/>
    </w:pPr>
    <w:rPr>
      <w:b w:val="1"/>
      <w:caps w:val="1"/>
      <w:w w:val="100"/>
      <w:position w:val="-1"/>
      <w:sz w:val="24"/>
      <w:szCs w:val="20"/>
      <w:effect w:val="none"/>
      <w:vertAlign w:val="baseline"/>
      <w:cs w:val="0"/>
      <w:em w:val="none"/>
      <w:lang w:bidi="ar-SA" w:eastAsia="en-US" w:val="en-US"/>
    </w:rPr>
  </w:style>
  <w:style w:type="paragraph" w:styleId="Titolo5">
    <w:name w:val="Titolo 5"/>
    <w:basedOn w:val="Normale"/>
    <w:next w:val="Normale"/>
    <w:autoRedefine w:val="0"/>
    <w:hidden w:val="0"/>
    <w:qFormat w:val="0"/>
    <w:pPr>
      <w:suppressAutoHyphens w:val="1"/>
      <w:spacing w:after="60" w:before="240" w:line="1" w:lineRule="atLeast"/>
      <w:ind w:leftChars="-1" w:rightChars="0" w:firstLineChars="-1"/>
      <w:textDirection w:val="btLr"/>
      <w:textAlignment w:val="top"/>
      <w:outlineLvl w:val="4"/>
    </w:pPr>
    <w:rPr>
      <w:rFonts w:ascii="Calibri" w:cs="Times New Roman" w:eastAsia="PMingLiU" w:hAnsi="Calibri"/>
      <w:b w:val="1"/>
      <w:bCs w:val="1"/>
      <w:i w:val="1"/>
      <w:iCs w:val="1"/>
      <w:w w:val="100"/>
      <w:position w:val="-1"/>
      <w:sz w:val="26"/>
      <w:szCs w:val="26"/>
      <w:effect w:val="none"/>
      <w:vertAlign w:val="baseline"/>
      <w:cs w:val="0"/>
      <w:em w:val="none"/>
      <w:lang w:bidi="ar-SA" w:eastAsia="en-US" w:val="en-US"/>
    </w:rPr>
  </w:style>
  <w:style w:type="character" w:styleId="Car.predefinitoparagrafo">
    <w:name w:val="Car. predefinito paragrafo"/>
    <w:next w:val="Car.predefinitoparagrafo"/>
    <w:autoRedefine w:val="0"/>
    <w:hidden w:val="0"/>
    <w:qFormat w:val="0"/>
    <w:rPr>
      <w:w w:val="100"/>
      <w:position w:val="-1"/>
      <w:effect w:val="none"/>
      <w:vertAlign w:val="baseline"/>
      <w:cs w:val="0"/>
      <w:em w:val="none"/>
      <w:lang/>
    </w:rPr>
  </w:style>
  <w:style w:type="table" w:styleId="Tabellanormale">
    <w:name w:val="Tabella normale"/>
    <w:next w:val="Tabellanormale"/>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lanormale"/>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1"/>
    <w:pPr>
      <w:suppressAutoHyphens w:val="1"/>
      <w:spacing w:line="1" w:lineRule="atLeast"/>
      <w:ind w:leftChars="-1" w:rightChars="0" w:firstLineChars="-1"/>
      <w:textDirection w:val="btLr"/>
      <w:textAlignment w:val="top"/>
      <w:outlineLvl w:val="0"/>
    </w:pPr>
  </w:style>
  <w:style w:type="paragraph" w:styleId="Rientrocorpodeltesto3">
    <w:name w:val="Rientro corpo del testo 3"/>
    <w:basedOn w:val="Normale"/>
    <w:next w:val="Rientrocorpodeltesto3"/>
    <w:autoRedefine w:val="0"/>
    <w:hidden w:val="0"/>
    <w:qFormat w:val="0"/>
    <w:pPr>
      <w:suppressAutoHyphens w:val="1"/>
      <w:spacing w:after="120" w:before="120" w:line="1" w:lineRule="atLeast"/>
      <w:ind w:left="-90" w:leftChars="-1" w:rightChars="0" w:firstLineChars="-1"/>
      <w:jc w:val="center"/>
      <w:textDirection w:val="btLr"/>
      <w:textAlignment w:val="top"/>
      <w:outlineLvl w:val="0"/>
    </w:pPr>
    <w:rPr>
      <w:rFonts w:ascii="Times" w:hAnsi="Times"/>
      <w:w w:val="100"/>
      <w:position w:val="-1"/>
      <w:sz w:val="24"/>
      <w:szCs w:val="20"/>
      <w:effect w:val="none"/>
      <w:vertAlign w:val="baseline"/>
      <w:cs w:val="0"/>
      <w:em w:val="none"/>
      <w:lang w:bidi="ar-SA" w:eastAsia="en-US" w:val="en-US"/>
    </w:rPr>
  </w:style>
  <w:style w:type="character" w:styleId="Titolo5Carattere">
    <w:name w:val="Titolo 5 Carattere"/>
    <w:next w:val="Titolo5Carattere"/>
    <w:autoRedefine w:val="0"/>
    <w:hidden w:val="0"/>
    <w:qFormat w:val="0"/>
    <w:rPr>
      <w:rFonts w:ascii="Calibri" w:cs="Times New Roman" w:eastAsia="PMingLiU" w:hAnsi="Calibri"/>
      <w:b w:val="1"/>
      <w:bCs w:val="1"/>
      <w:i w:val="1"/>
      <w:iCs w:val="1"/>
      <w:w w:val="100"/>
      <w:position w:val="-1"/>
      <w:sz w:val="26"/>
      <w:szCs w:val="26"/>
      <w:effect w:val="none"/>
      <w:vertAlign w:val="baseline"/>
      <w:cs w:val="0"/>
      <w:em w:val="none"/>
      <w:lang w:eastAsia="en-US"/>
    </w:rPr>
  </w:style>
  <w:style w:type="paragraph" w:styleId="Default">
    <w:name w:val="Default"/>
    <w:next w:val="Default"/>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Calibri" w:cs="Calibri" w:eastAsia="Calibri" w:hAnsi="Calibri"/>
      <w:color w:val="000000"/>
      <w:w w:val="100"/>
      <w:position w:val="-1"/>
      <w:sz w:val="24"/>
      <w:szCs w:val="24"/>
      <w:effect w:val="none"/>
      <w:vertAlign w:val="baseline"/>
      <w:cs w:val="0"/>
      <w:em w:val="none"/>
      <w:lang w:bidi="ar-SA" w:eastAsia="en-US" w:val="en-US"/>
    </w:rPr>
  </w:style>
  <w:style w:type="paragraph" w:styleId="Testofumetto">
    <w:name w:val="Testo fumetto"/>
    <w:basedOn w:val="Normale"/>
    <w:next w:val="Testofumetto"/>
    <w:autoRedefine w:val="0"/>
    <w:hidden w:val="0"/>
    <w:qFormat w:val="1"/>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TestofumettoCarattere">
    <w:name w:val="Testo fumetto Carattere"/>
    <w:next w:val="TestofumettoCarattere"/>
    <w:autoRedefine w:val="0"/>
    <w:hidden w:val="0"/>
    <w:qFormat w:val="0"/>
    <w:rPr>
      <w:rFonts w:ascii="Tahoma" w:cs="Tahoma" w:hAnsi="Tahoma"/>
      <w:w w:val="100"/>
      <w:position w:val="-1"/>
      <w:sz w:val="16"/>
      <w:szCs w:val="16"/>
      <w:effect w:val="none"/>
      <w:vertAlign w:val="baseline"/>
      <w:cs w:val="0"/>
      <w:em w:val="none"/>
      <w:lang w:eastAsia="en-US" w:val="en-US"/>
    </w:rPr>
  </w:style>
  <w:style w:type="character" w:styleId="Enfasi(grassetto)">
    <w:name w:val="Enfasi (grassetto)"/>
    <w:next w:val="Enfasi(grassetto)"/>
    <w:autoRedefine w:val="0"/>
    <w:hidden w:val="0"/>
    <w:qFormat w:val="0"/>
    <w:rPr>
      <w:b w:val="1"/>
      <w:bCs w:val="1"/>
      <w:w w:val="100"/>
      <w:position w:val="-1"/>
      <w:effect w:val="none"/>
      <w:vertAlign w:val="baseline"/>
      <w:cs w:val="0"/>
      <w:em w:val="none"/>
      <w:lang/>
    </w:rPr>
  </w:style>
  <w:style w:type="character" w:styleId="Collegamentoipertestuale">
    <w:name w:val="Collegamento ipertestuale"/>
    <w:next w:val="Collegamentoipertestuale"/>
    <w:autoRedefine w:val="0"/>
    <w:hidden w:val="0"/>
    <w:qFormat w:val="1"/>
    <w:rPr>
      <w:color w:val="0563c1"/>
      <w:w w:val="100"/>
      <w:position w:val="-1"/>
      <w:u w:val="single"/>
      <w:effect w:val="none"/>
      <w:vertAlign w:val="baseline"/>
      <w:cs w:val="0"/>
      <w:em w:val="none"/>
      <w:lang/>
    </w:rPr>
  </w:style>
  <w:style w:type="character" w:styleId="Menzionenonrisolta">
    <w:name w:val="Menzione non risolta"/>
    <w:next w:val="Menzionenonrisolta"/>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QkVjpUFj8X/eS+V50rp1324auA==">CgMxLjA4AHIhMVR4NktDTXZqTGgtaEVTaVBwcHk3a0MxdTlyMXR3TW02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2025-01-04T09:52:00Z</dcterms:created>
  <dc:creator>gillard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str/>
  </property>
  <property fmtid="{D5CDD505-2E9C-101B-9397-08002B2CF9AE}" pid="3" name="TaxCatchAll">
    <vt:lpstr/>
  </property>
</Properties>
</file>