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A9ABF" w14:textId="77777777" w:rsidR="001D2F04" w:rsidRDefault="001D2F04" w:rsidP="00DE54BC">
      <w:pPr>
        <w:jc w:val="both"/>
        <w:rPr>
          <w:rFonts w:ascii="Calibri" w:hAnsi="Calibri" w:cs="Calibri"/>
          <w:b/>
          <w:sz w:val="20"/>
          <w:szCs w:val="20"/>
        </w:rPr>
      </w:pPr>
      <w:r w:rsidRPr="001D2F04">
        <w:rPr>
          <w:rFonts w:ascii="Calibri" w:hAnsi="Calibri" w:cs="Calibri"/>
          <w:b/>
          <w:sz w:val="20"/>
          <w:szCs w:val="20"/>
        </w:rPr>
        <w:t>Creating evidence-based personas to illuminate hypertension journeys and guide education strategies</w:t>
      </w:r>
    </w:p>
    <w:p w14:paraId="6AD2D071" w14:textId="7DE633B5" w:rsidR="00DE54BC" w:rsidRPr="004E5450" w:rsidRDefault="00DE54BC" w:rsidP="00DE54BC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>Kaylee Slater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Eleanor Clapham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>
        <w:rPr>
          <w:rFonts w:ascii="Calibri" w:hAnsi="Calibri" w:cs="Calibri"/>
          <w:sz w:val="20"/>
          <w:szCs w:val="20"/>
          <w:lang w:val="en-AU"/>
        </w:rPr>
        <w:t>, Elizabeth Halcomb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5278C">
        <w:rPr>
          <w:rFonts w:ascii="Calibri" w:hAnsi="Calibri" w:cs="Calibri"/>
          <w:sz w:val="20"/>
          <w:szCs w:val="20"/>
          <w:lang w:val="en-AU"/>
        </w:rPr>
        <w:t>Ben Kostyrka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Pr="0075278C">
        <w:rPr>
          <w:rFonts w:ascii="Calibri" w:hAnsi="Calibri" w:cs="Calibri"/>
          <w:sz w:val="20"/>
          <w:szCs w:val="20"/>
          <w:lang w:val="en-AU"/>
        </w:rPr>
        <w:t>Lisa Kouladjian O'Donnell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963F4B">
        <w:rPr>
          <w:rFonts w:ascii="Calibri" w:hAnsi="Calibri" w:cs="Calibri"/>
          <w:sz w:val="20"/>
          <w:szCs w:val="20"/>
          <w:lang w:val="en-AU"/>
        </w:rPr>
        <w:t>Florence Lopez</w:t>
      </w:r>
      <w:r w:rsidR="00963F4B"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963F4B">
        <w:rPr>
          <w:rFonts w:ascii="Calibri" w:hAnsi="Calibri" w:cs="Calibri"/>
          <w:sz w:val="20"/>
          <w:szCs w:val="20"/>
          <w:lang w:val="en-AU"/>
        </w:rPr>
        <w:t xml:space="preserve">, </w:t>
      </w:r>
      <w:r>
        <w:rPr>
          <w:rFonts w:ascii="Calibri" w:hAnsi="Calibri" w:cs="Calibri"/>
          <w:sz w:val="20"/>
          <w:szCs w:val="20"/>
          <w:lang w:val="en-AU"/>
        </w:rPr>
        <w:t>Mitchell Sarkies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Gautam Satheesh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9F10C6">
        <w:rPr>
          <w:rFonts w:ascii="Calibri" w:hAnsi="Calibri" w:cs="Calibri"/>
          <w:sz w:val="20"/>
          <w:szCs w:val="20"/>
          <w:vertAlign w:val="superscript"/>
          <w:lang w:val="en-AU"/>
        </w:rPr>
        <w:t>, 4</w:t>
      </w:r>
      <w:r>
        <w:rPr>
          <w:rFonts w:ascii="Calibri" w:hAnsi="Calibri" w:cs="Calibri"/>
          <w:sz w:val="20"/>
          <w:szCs w:val="20"/>
          <w:lang w:val="en-AU"/>
        </w:rPr>
        <w:t>, Mouna Sawan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Al</w:t>
      </w:r>
      <w:r w:rsidR="00E47FEE">
        <w:rPr>
          <w:rFonts w:ascii="Calibri" w:hAnsi="Calibri" w:cs="Calibri"/>
          <w:sz w:val="20"/>
          <w:szCs w:val="20"/>
          <w:lang w:val="en-AU"/>
        </w:rPr>
        <w:t>et</w:t>
      </w:r>
      <w:r>
        <w:rPr>
          <w:rFonts w:ascii="Calibri" w:hAnsi="Calibri" w:cs="Calibri"/>
          <w:sz w:val="20"/>
          <w:szCs w:val="20"/>
          <w:lang w:val="en-AU"/>
        </w:rPr>
        <w:t xml:space="preserve">ta </w:t>
      </w:r>
      <w:r w:rsidR="00E47FEE">
        <w:rPr>
          <w:rFonts w:ascii="Calibri" w:hAnsi="Calibri" w:cs="Calibri"/>
          <w:sz w:val="20"/>
          <w:szCs w:val="20"/>
          <w:lang w:val="en-AU"/>
        </w:rPr>
        <w:t xml:space="preserve">E </w:t>
      </w:r>
      <w:r>
        <w:rPr>
          <w:rFonts w:ascii="Calibri" w:hAnsi="Calibri" w:cs="Calibri"/>
          <w:sz w:val="20"/>
          <w:szCs w:val="20"/>
          <w:lang w:val="en-AU"/>
        </w:rPr>
        <w:t>Schutte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4</w:t>
      </w:r>
      <w:r w:rsidR="00E47FEE">
        <w:rPr>
          <w:rFonts w:ascii="Calibri" w:hAnsi="Calibri" w:cs="Calibri"/>
          <w:sz w:val="20"/>
          <w:szCs w:val="20"/>
          <w:vertAlign w:val="superscript"/>
          <w:lang w:val="en-AU"/>
        </w:rPr>
        <w:t>,5</w:t>
      </w:r>
      <w:r>
        <w:rPr>
          <w:rFonts w:ascii="Calibri" w:hAnsi="Calibri" w:cs="Calibri"/>
          <w:sz w:val="20"/>
          <w:szCs w:val="20"/>
          <w:lang w:val="en-AU"/>
        </w:rPr>
        <w:t>, Catherine Stephen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>
        <w:rPr>
          <w:rFonts w:ascii="Calibri" w:hAnsi="Calibri" w:cs="Calibri"/>
          <w:sz w:val="20"/>
          <w:szCs w:val="20"/>
          <w:lang w:val="en-AU"/>
        </w:rPr>
        <w:t>, Ritu Trivedi</w:t>
      </w:r>
      <w:r w:rsidRPr="004E5450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Niamh Chapman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1,2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Pr="004E5450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 xml:space="preserve">Faculty of Medicine and Health, University of Sydney, Sydney, NSW, Australia; </w:t>
      </w:r>
      <w:r>
        <w:rPr>
          <w:rFonts w:ascii="Calibri" w:hAnsi="Calibri" w:cs="Calibri"/>
          <w:sz w:val="20"/>
          <w:szCs w:val="20"/>
          <w:vertAlign w:val="superscript"/>
        </w:rPr>
        <w:t>2</w:t>
      </w:r>
      <w:r w:rsidRPr="00EB35B4">
        <w:rPr>
          <w:rFonts w:ascii="Calibri" w:hAnsi="Calibri" w:cs="Calibri"/>
          <w:sz w:val="20"/>
          <w:szCs w:val="20"/>
        </w:rPr>
        <w:t>Menzies Institute for Medical Research, University of Tasmania, Australia</w:t>
      </w:r>
      <w:r>
        <w:rPr>
          <w:rFonts w:ascii="Calibri" w:hAnsi="Calibri" w:cs="Calibri"/>
          <w:sz w:val="20"/>
          <w:szCs w:val="20"/>
        </w:rPr>
        <w:t xml:space="preserve">; </w:t>
      </w:r>
      <w:r>
        <w:rPr>
          <w:rFonts w:ascii="Calibri" w:hAnsi="Calibri" w:cs="Calibri"/>
          <w:sz w:val="20"/>
          <w:szCs w:val="20"/>
          <w:vertAlign w:val="superscript"/>
        </w:rPr>
        <w:t>3</w:t>
      </w:r>
      <w:r>
        <w:rPr>
          <w:rFonts w:ascii="Calibri" w:hAnsi="Calibri" w:cs="Calibri"/>
          <w:sz w:val="20"/>
          <w:szCs w:val="20"/>
        </w:rPr>
        <w:t xml:space="preserve">Faculty of Science, Medicine and Health, University of Wollongong, Wollongong, NSW, Australia; </w:t>
      </w:r>
      <w:r>
        <w:rPr>
          <w:rFonts w:ascii="Calibri" w:hAnsi="Calibri" w:cs="Calibri"/>
          <w:sz w:val="20"/>
          <w:szCs w:val="20"/>
          <w:vertAlign w:val="superscript"/>
        </w:rPr>
        <w:t>4</w:t>
      </w:r>
      <w:r>
        <w:rPr>
          <w:rFonts w:ascii="Calibri" w:hAnsi="Calibri" w:cs="Calibri"/>
          <w:sz w:val="20"/>
          <w:szCs w:val="20"/>
        </w:rPr>
        <w:t>The George Institute of Global Health, Sydney, NSW, Australia</w:t>
      </w:r>
      <w:r w:rsidR="00E47FEE">
        <w:rPr>
          <w:rFonts w:ascii="Calibri" w:hAnsi="Calibri" w:cs="Calibri"/>
          <w:sz w:val="20"/>
          <w:szCs w:val="20"/>
        </w:rPr>
        <w:t xml:space="preserve">; </w:t>
      </w:r>
      <w:r w:rsidR="00E47FEE">
        <w:rPr>
          <w:rFonts w:ascii="Calibri" w:hAnsi="Calibri" w:cs="Calibri"/>
          <w:sz w:val="20"/>
          <w:szCs w:val="20"/>
          <w:vertAlign w:val="superscript"/>
        </w:rPr>
        <w:t>5</w:t>
      </w:r>
      <w:r w:rsidR="00E47FEE">
        <w:rPr>
          <w:rFonts w:ascii="Calibri" w:hAnsi="Calibri" w:cs="Calibri"/>
          <w:sz w:val="20"/>
          <w:szCs w:val="20"/>
        </w:rPr>
        <w:t>School of Population Health, UNSW Sydney, Sydney, NSW, Australia</w:t>
      </w:r>
      <w:r>
        <w:rPr>
          <w:rFonts w:ascii="Calibri" w:hAnsi="Calibri" w:cs="Calibri"/>
          <w:sz w:val="20"/>
          <w:szCs w:val="20"/>
        </w:rPr>
        <w:t xml:space="preserve">. </w:t>
      </w:r>
    </w:p>
    <w:p w14:paraId="3493749D" w14:textId="0432EDB6" w:rsidR="00711813" w:rsidRPr="004E5450" w:rsidRDefault="00725CAE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665F751A" wp14:editId="02903FA6">
            <wp:simplePos x="0" y="0"/>
            <wp:positionH relativeFrom="page">
              <wp:posOffset>5179060</wp:posOffset>
            </wp:positionH>
            <wp:positionV relativeFrom="paragraph">
              <wp:posOffset>22225</wp:posOffset>
            </wp:positionV>
            <wp:extent cx="1828800" cy="1828800"/>
            <wp:effectExtent l="0" t="0" r="0" b="0"/>
            <wp:wrapSquare wrapText="bothSides"/>
            <wp:docPr id="25608260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813" w:rsidRPr="004E5450">
        <w:rPr>
          <w:i/>
          <w:color w:val="auto"/>
          <w:sz w:val="20"/>
          <w:szCs w:val="20"/>
        </w:rPr>
        <w:t xml:space="preserve"> </w:t>
      </w:r>
    </w:p>
    <w:p w14:paraId="17ED84BA" w14:textId="4641630B" w:rsidR="009C2456" w:rsidRPr="009C2456" w:rsidRDefault="00711813" w:rsidP="009C245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53E9A">
        <w:rPr>
          <w:rFonts w:ascii="Calibri" w:hAnsi="Calibri" w:cs="Calibri"/>
          <w:b/>
          <w:bCs/>
          <w:sz w:val="20"/>
          <w:szCs w:val="20"/>
          <w:lang w:val="en-AU"/>
        </w:rPr>
        <w:t>Introduction</w:t>
      </w:r>
      <w:r w:rsidR="009D0EB1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Pr="00153E9A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045CF2" w:rsidRPr="00045CF2">
        <w:rPr>
          <w:rFonts w:ascii="Calibri" w:hAnsi="Calibri" w:cs="Calibri"/>
          <w:sz w:val="20"/>
          <w:szCs w:val="20"/>
          <w:lang w:val="en-AU"/>
        </w:rPr>
        <w:t xml:space="preserve">Effective hypertension management relies on patient education, yet it is often poorly delivered. </w:t>
      </w:r>
      <w:r w:rsidR="00913DC4">
        <w:rPr>
          <w:rFonts w:ascii="Calibri" w:hAnsi="Calibri" w:cs="Calibri"/>
          <w:sz w:val="20"/>
          <w:szCs w:val="20"/>
          <w:lang w:val="en-AU"/>
        </w:rPr>
        <w:t>U</w:t>
      </w:r>
      <w:r w:rsidR="00045CF2" w:rsidRPr="00045CF2">
        <w:rPr>
          <w:rFonts w:ascii="Calibri" w:hAnsi="Calibri" w:cs="Calibri"/>
          <w:sz w:val="20"/>
          <w:szCs w:val="20"/>
          <w:lang w:val="en-AU"/>
        </w:rPr>
        <w:t>nderstanding patient preferences is critical to developing timely, tailored, and person-centred education.</w:t>
      </w:r>
    </w:p>
    <w:p w14:paraId="3632A288" w14:textId="22F09549" w:rsidR="00896047" w:rsidRDefault="009C2456" w:rsidP="009C245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913DC4">
        <w:rPr>
          <w:rFonts w:ascii="Calibri" w:hAnsi="Calibri" w:cs="Calibri"/>
          <w:b/>
          <w:bCs/>
          <w:sz w:val="20"/>
          <w:szCs w:val="20"/>
          <w:lang w:val="en-AU"/>
        </w:rPr>
        <w:t>Aim: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D252E4">
        <w:rPr>
          <w:rFonts w:ascii="Calibri" w:hAnsi="Calibri" w:cs="Calibri"/>
          <w:sz w:val="20"/>
          <w:szCs w:val="20"/>
          <w:lang w:val="en-AU"/>
        </w:rPr>
        <w:t>I</w:t>
      </w:r>
      <w:r w:rsidR="00045CF2" w:rsidRPr="00045CF2">
        <w:rPr>
          <w:rFonts w:ascii="Calibri" w:hAnsi="Calibri" w:cs="Calibri"/>
          <w:sz w:val="20"/>
          <w:szCs w:val="20"/>
          <w:lang w:val="en-AU"/>
        </w:rPr>
        <w:t>dentify leverage points and behavioural and cultural factors that influence the delivery and uptake of patient education for primary hypertension</w:t>
      </w:r>
      <w:r w:rsidR="00D26A06">
        <w:rPr>
          <w:rFonts w:ascii="Calibri" w:hAnsi="Calibri" w:cs="Calibri"/>
          <w:sz w:val="20"/>
          <w:szCs w:val="20"/>
          <w:lang w:val="en-AU"/>
        </w:rPr>
        <w:t xml:space="preserve"> in primary care</w:t>
      </w:r>
      <w:r w:rsidR="00913DC4">
        <w:rPr>
          <w:rFonts w:ascii="Calibri" w:hAnsi="Calibri" w:cs="Calibri"/>
          <w:sz w:val="20"/>
          <w:szCs w:val="20"/>
          <w:lang w:val="en-AU"/>
        </w:rPr>
        <w:t>.</w:t>
      </w:r>
      <w:r w:rsidR="00045CF2">
        <w:rPr>
          <w:rFonts w:ascii="Calibri" w:hAnsi="Calibri" w:cs="Calibri"/>
          <w:sz w:val="20"/>
          <w:szCs w:val="20"/>
          <w:lang w:val="en-AU"/>
        </w:rPr>
        <w:t xml:space="preserve"> </w:t>
      </w:r>
    </w:p>
    <w:p w14:paraId="7A48EB8D" w14:textId="736F5684" w:rsidR="004B70FF" w:rsidRDefault="009C2456" w:rsidP="009C245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53E9A">
        <w:rPr>
          <w:rFonts w:ascii="Calibri" w:hAnsi="Calibri" w:cs="Calibri"/>
          <w:b/>
          <w:bCs/>
          <w:sz w:val="20"/>
          <w:szCs w:val="20"/>
          <w:lang w:val="en-AU"/>
        </w:rPr>
        <w:t xml:space="preserve">Methods: </w:t>
      </w:r>
      <w:r w:rsidR="00913DC4">
        <w:rPr>
          <w:rFonts w:ascii="Calibri" w:hAnsi="Calibri" w:cs="Calibri"/>
          <w:sz w:val="20"/>
          <w:szCs w:val="20"/>
        </w:rPr>
        <w:t>Q</w:t>
      </w:r>
      <w:r w:rsidR="00045CF2" w:rsidRPr="00045CF2">
        <w:rPr>
          <w:rFonts w:ascii="Calibri" w:hAnsi="Calibri" w:cs="Calibri"/>
          <w:sz w:val="20"/>
          <w:szCs w:val="20"/>
        </w:rPr>
        <w:t xml:space="preserve">ualitative study using semi-structured interviews with adults in Australia who self-monitor blood pressure </w:t>
      </w:r>
      <w:r w:rsidR="00896047">
        <w:rPr>
          <w:rFonts w:ascii="Calibri" w:hAnsi="Calibri" w:cs="Calibri"/>
          <w:sz w:val="20"/>
          <w:szCs w:val="20"/>
        </w:rPr>
        <w:t>(n=27)</w:t>
      </w:r>
      <w:r w:rsidR="00045CF2" w:rsidRPr="00045CF2">
        <w:rPr>
          <w:rFonts w:ascii="Calibri" w:hAnsi="Calibri" w:cs="Calibri"/>
          <w:sz w:val="20"/>
          <w:szCs w:val="20"/>
        </w:rPr>
        <w:t>, and with general practitioners, nurses, and pharmacists involved in hypertension care</w:t>
      </w:r>
      <w:r w:rsidR="00896047">
        <w:rPr>
          <w:rFonts w:ascii="Calibri" w:hAnsi="Calibri" w:cs="Calibri"/>
          <w:sz w:val="20"/>
          <w:szCs w:val="20"/>
        </w:rPr>
        <w:t xml:space="preserve"> (n=12)</w:t>
      </w:r>
      <w:r w:rsidR="00045CF2" w:rsidRPr="00045CF2">
        <w:rPr>
          <w:rFonts w:ascii="Calibri" w:hAnsi="Calibri" w:cs="Calibri"/>
          <w:sz w:val="20"/>
          <w:szCs w:val="20"/>
        </w:rPr>
        <w:t xml:space="preserve">. Initial inductive coding identified themes related to the hypertension journey, including key time points, behavioural barriers, and enablers. Themes were then mapped to the </w:t>
      </w:r>
      <w:r w:rsidR="00045CF2">
        <w:rPr>
          <w:rFonts w:ascii="Calibri" w:hAnsi="Calibri" w:cs="Calibri"/>
          <w:sz w:val="20"/>
          <w:szCs w:val="20"/>
        </w:rPr>
        <w:t>capability, opportunity, motivation (</w:t>
      </w:r>
      <w:r w:rsidR="00045CF2" w:rsidRPr="00045CF2">
        <w:rPr>
          <w:rFonts w:ascii="Calibri" w:hAnsi="Calibri" w:cs="Calibri"/>
          <w:sz w:val="20"/>
          <w:szCs w:val="20"/>
        </w:rPr>
        <w:t>COM-B</w:t>
      </w:r>
      <w:r w:rsidR="00045CF2">
        <w:rPr>
          <w:rFonts w:ascii="Calibri" w:hAnsi="Calibri" w:cs="Calibri"/>
          <w:sz w:val="20"/>
          <w:szCs w:val="20"/>
        </w:rPr>
        <w:t>)</w:t>
      </w:r>
      <w:r w:rsidR="00045CF2" w:rsidRPr="00045CF2">
        <w:rPr>
          <w:rFonts w:ascii="Calibri" w:hAnsi="Calibri" w:cs="Calibri"/>
          <w:sz w:val="20"/>
          <w:szCs w:val="20"/>
        </w:rPr>
        <w:t xml:space="preserve"> framework. Patient personas were developed by synthesising behavioural patterns across COM-B domains, informed by insights from both patient and </w:t>
      </w:r>
      <w:r w:rsidR="00D252E4">
        <w:rPr>
          <w:rFonts w:ascii="Calibri" w:hAnsi="Calibri" w:cs="Calibri"/>
          <w:sz w:val="20"/>
          <w:szCs w:val="20"/>
        </w:rPr>
        <w:t>practitioner</w:t>
      </w:r>
      <w:r w:rsidR="00045CF2" w:rsidRPr="00045CF2">
        <w:rPr>
          <w:rFonts w:ascii="Calibri" w:hAnsi="Calibri" w:cs="Calibri"/>
          <w:sz w:val="20"/>
          <w:szCs w:val="20"/>
        </w:rPr>
        <w:t xml:space="preserve"> interviews.</w:t>
      </w:r>
      <w:r w:rsidR="00045CF2">
        <w:rPr>
          <w:rFonts w:ascii="Calibri" w:hAnsi="Calibri" w:cs="Calibri"/>
          <w:sz w:val="20"/>
          <w:szCs w:val="20"/>
        </w:rPr>
        <w:t xml:space="preserve"> </w:t>
      </w:r>
    </w:p>
    <w:p w14:paraId="5BA73391" w14:textId="32D7A107" w:rsidR="009C2456" w:rsidRDefault="009C2456" w:rsidP="009C2456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53E9A">
        <w:rPr>
          <w:rFonts w:ascii="Calibri" w:hAnsi="Calibri" w:cs="Calibri"/>
          <w:b/>
          <w:bCs/>
          <w:sz w:val="20"/>
          <w:szCs w:val="20"/>
          <w:lang w:val="en-AU"/>
        </w:rPr>
        <w:t>Results:</w:t>
      </w:r>
      <w:r w:rsidR="008D5677" w:rsidRPr="00153E9A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896047" w:rsidRPr="00896047">
        <w:rPr>
          <w:rFonts w:ascii="Calibri" w:hAnsi="Calibri" w:cs="Calibri"/>
          <w:sz w:val="20"/>
          <w:szCs w:val="20"/>
        </w:rPr>
        <w:t>Unique behavioural barriers and enablers to patient education emerged across key stages of hypertension management</w:t>
      </w:r>
      <w:r w:rsidR="00896047">
        <w:rPr>
          <w:rFonts w:ascii="Calibri" w:hAnsi="Calibri" w:cs="Calibri"/>
          <w:sz w:val="20"/>
          <w:szCs w:val="20"/>
        </w:rPr>
        <w:t xml:space="preserve"> including </w:t>
      </w:r>
      <w:r w:rsidR="00896047" w:rsidRPr="00896047">
        <w:rPr>
          <w:rFonts w:ascii="Calibri" w:hAnsi="Calibri" w:cs="Calibri"/>
          <w:sz w:val="20"/>
          <w:szCs w:val="20"/>
        </w:rPr>
        <w:t xml:space="preserve">diagnosis, treatment initiation, and long-term care. Barriers included feeling overwhelmed, inconsistent guidance, and clinician assumptions about motivation, while a strong desire to self-manage was a consistent enabler. Six distinct patient </w:t>
      </w:r>
      <w:proofErr w:type="gramStart"/>
      <w:r w:rsidR="00896047" w:rsidRPr="00896047">
        <w:rPr>
          <w:rFonts w:ascii="Calibri" w:hAnsi="Calibri" w:cs="Calibri"/>
          <w:sz w:val="20"/>
          <w:szCs w:val="20"/>
        </w:rPr>
        <w:t>personas</w:t>
      </w:r>
      <w:proofErr w:type="gramEnd"/>
      <w:r w:rsidR="00896047" w:rsidRPr="00896047">
        <w:rPr>
          <w:rFonts w:ascii="Calibri" w:hAnsi="Calibri" w:cs="Calibri"/>
          <w:sz w:val="20"/>
          <w:szCs w:val="20"/>
        </w:rPr>
        <w:t xml:space="preserve"> were developed, each reflecting different responses to these </w:t>
      </w:r>
      <w:r w:rsidR="00D252E4">
        <w:rPr>
          <w:rFonts w:ascii="Calibri" w:hAnsi="Calibri" w:cs="Calibri"/>
          <w:sz w:val="20"/>
          <w:szCs w:val="20"/>
        </w:rPr>
        <w:t>barriers</w:t>
      </w:r>
      <w:r w:rsidR="00896047" w:rsidRPr="00896047">
        <w:rPr>
          <w:rFonts w:ascii="Calibri" w:hAnsi="Calibri" w:cs="Calibri"/>
          <w:sz w:val="20"/>
          <w:szCs w:val="20"/>
        </w:rPr>
        <w:t xml:space="preserve"> and enablers, highlighting diverse needs and opportunities for tailored education strategies.</w:t>
      </w:r>
    </w:p>
    <w:p w14:paraId="38723AD6" w14:textId="29D41A06" w:rsidR="00F97620" w:rsidRPr="004E5450" w:rsidRDefault="009C2456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153E9A">
        <w:rPr>
          <w:rFonts w:ascii="Calibri" w:hAnsi="Calibri" w:cs="Calibri"/>
          <w:b/>
          <w:bCs/>
          <w:sz w:val="20"/>
          <w:szCs w:val="20"/>
          <w:lang w:val="en-AU"/>
        </w:rPr>
        <w:t>Discussion:</w:t>
      </w:r>
      <w:r w:rsidR="008D5677" w:rsidRPr="00153E9A">
        <w:rPr>
          <w:rFonts w:ascii="Calibri" w:hAnsi="Calibri" w:cs="Calibri"/>
          <w:b/>
          <w:bCs/>
          <w:sz w:val="20"/>
          <w:szCs w:val="20"/>
          <w:lang w:val="en-AU"/>
        </w:rPr>
        <w:t xml:space="preserve"> </w:t>
      </w:r>
      <w:r w:rsidR="008D5677" w:rsidRPr="008D5677">
        <w:rPr>
          <w:rFonts w:ascii="Calibri" w:hAnsi="Calibri" w:cs="Calibri"/>
          <w:sz w:val="20"/>
          <w:szCs w:val="20"/>
        </w:rPr>
        <w:t xml:space="preserve">These personas </w:t>
      </w:r>
      <w:r w:rsidR="008F4125" w:rsidRPr="008F4125">
        <w:rPr>
          <w:rFonts w:ascii="Calibri" w:hAnsi="Calibri" w:cs="Calibri"/>
          <w:sz w:val="20"/>
          <w:szCs w:val="20"/>
        </w:rPr>
        <w:t xml:space="preserve">reflect the complexity of hypertension management and highlight gaps in education. </w:t>
      </w:r>
      <w:r w:rsidR="00913DC4" w:rsidRPr="008F4125">
        <w:rPr>
          <w:rFonts w:ascii="Calibri" w:hAnsi="Calibri" w:cs="Calibri"/>
          <w:sz w:val="20"/>
          <w:szCs w:val="20"/>
        </w:rPr>
        <w:t>They offer a practical tool for designing person-centred interventions to reduce disparities in primary care.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D5266"/>
    <w:multiLevelType w:val="hybridMultilevel"/>
    <w:tmpl w:val="C9F40C8A"/>
    <w:lvl w:ilvl="0" w:tplc="6E2E7478">
      <w:start w:val="1"/>
      <w:numFmt w:val="decimal"/>
      <w:lvlText w:val="%1."/>
      <w:lvlJc w:val="left"/>
      <w:pPr>
        <w:ind w:left="1020" w:hanging="360"/>
      </w:pPr>
    </w:lvl>
    <w:lvl w:ilvl="1" w:tplc="A5AC320C">
      <w:start w:val="1"/>
      <w:numFmt w:val="decimal"/>
      <w:lvlText w:val="%2."/>
      <w:lvlJc w:val="left"/>
      <w:pPr>
        <w:ind w:left="1020" w:hanging="360"/>
      </w:pPr>
    </w:lvl>
    <w:lvl w:ilvl="2" w:tplc="7DAED9BA">
      <w:start w:val="1"/>
      <w:numFmt w:val="decimal"/>
      <w:lvlText w:val="%3."/>
      <w:lvlJc w:val="left"/>
      <w:pPr>
        <w:ind w:left="1020" w:hanging="360"/>
      </w:pPr>
    </w:lvl>
    <w:lvl w:ilvl="3" w:tplc="399A2A76">
      <w:start w:val="1"/>
      <w:numFmt w:val="decimal"/>
      <w:lvlText w:val="%4."/>
      <w:lvlJc w:val="left"/>
      <w:pPr>
        <w:ind w:left="1020" w:hanging="360"/>
      </w:pPr>
    </w:lvl>
    <w:lvl w:ilvl="4" w:tplc="461AB43C">
      <w:start w:val="1"/>
      <w:numFmt w:val="decimal"/>
      <w:lvlText w:val="%5."/>
      <w:lvlJc w:val="left"/>
      <w:pPr>
        <w:ind w:left="1020" w:hanging="360"/>
      </w:pPr>
    </w:lvl>
    <w:lvl w:ilvl="5" w:tplc="F2E4BC46">
      <w:start w:val="1"/>
      <w:numFmt w:val="decimal"/>
      <w:lvlText w:val="%6."/>
      <w:lvlJc w:val="left"/>
      <w:pPr>
        <w:ind w:left="1020" w:hanging="360"/>
      </w:pPr>
    </w:lvl>
    <w:lvl w:ilvl="6" w:tplc="3AA6786E">
      <w:start w:val="1"/>
      <w:numFmt w:val="decimal"/>
      <w:lvlText w:val="%7."/>
      <w:lvlJc w:val="left"/>
      <w:pPr>
        <w:ind w:left="1020" w:hanging="360"/>
      </w:pPr>
    </w:lvl>
    <w:lvl w:ilvl="7" w:tplc="A6963AEC">
      <w:start w:val="1"/>
      <w:numFmt w:val="decimal"/>
      <w:lvlText w:val="%8."/>
      <w:lvlJc w:val="left"/>
      <w:pPr>
        <w:ind w:left="1020" w:hanging="360"/>
      </w:pPr>
    </w:lvl>
    <w:lvl w:ilvl="8" w:tplc="F5DC7FB6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25AC5E94"/>
    <w:multiLevelType w:val="hybridMultilevel"/>
    <w:tmpl w:val="4320AC0C"/>
    <w:lvl w:ilvl="0" w:tplc="C7FA4242">
      <w:start w:val="1"/>
      <w:numFmt w:val="decimal"/>
      <w:lvlText w:val="%1."/>
      <w:lvlJc w:val="left"/>
      <w:pPr>
        <w:ind w:left="1020" w:hanging="360"/>
      </w:pPr>
    </w:lvl>
    <w:lvl w:ilvl="1" w:tplc="49C0D22A">
      <w:start w:val="1"/>
      <w:numFmt w:val="decimal"/>
      <w:lvlText w:val="%2."/>
      <w:lvlJc w:val="left"/>
      <w:pPr>
        <w:ind w:left="1020" w:hanging="360"/>
      </w:pPr>
    </w:lvl>
    <w:lvl w:ilvl="2" w:tplc="30B02694">
      <w:start w:val="1"/>
      <w:numFmt w:val="decimal"/>
      <w:lvlText w:val="%3."/>
      <w:lvlJc w:val="left"/>
      <w:pPr>
        <w:ind w:left="1020" w:hanging="360"/>
      </w:pPr>
    </w:lvl>
    <w:lvl w:ilvl="3" w:tplc="5FA23E4E">
      <w:start w:val="1"/>
      <w:numFmt w:val="decimal"/>
      <w:lvlText w:val="%4."/>
      <w:lvlJc w:val="left"/>
      <w:pPr>
        <w:ind w:left="1020" w:hanging="360"/>
      </w:pPr>
    </w:lvl>
    <w:lvl w:ilvl="4" w:tplc="B5AAE786">
      <w:start w:val="1"/>
      <w:numFmt w:val="decimal"/>
      <w:lvlText w:val="%5."/>
      <w:lvlJc w:val="left"/>
      <w:pPr>
        <w:ind w:left="1020" w:hanging="360"/>
      </w:pPr>
    </w:lvl>
    <w:lvl w:ilvl="5" w:tplc="ADC86938">
      <w:start w:val="1"/>
      <w:numFmt w:val="decimal"/>
      <w:lvlText w:val="%6."/>
      <w:lvlJc w:val="left"/>
      <w:pPr>
        <w:ind w:left="1020" w:hanging="360"/>
      </w:pPr>
    </w:lvl>
    <w:lvl w:ilvl="6" w:tplc="1FF2EEE8">
      <w:start w:val="1"/>
      <w:numFmt w:val="decimal"/>
      <w:lvlText w:val="%7."/>
      <w:lvlJc w:val="left"/>
      <w:pPr>
        <w:ind w:left="1020" w:hanging="360"/>
      </w:pPr>
    </w:lvl>
    <w:lvl w:ilvl="7" w:tplc="ECC26CD2">
      <w:start w:val="1"/>
      <w:numFmt w:val="decimal"/>
      <w:lvlText w:val="%8."/>
      <w:lvlJc w:val="left"/>
      <w:pPr>
        <w:ind w:left="1020" w:hanging="360"/>
      </w:pPr>
    </w:lvl>
    <w:lvl w:ilvl="8" w:tplc="2790315E">
      <w:start w:val="1"/>
      <w:numFmt w:val="decimal"/>
      <w:lvlText w:val="%9."/>
      <w:lvlJc w:val="left"/>
      <w:pPr>
        <w:ind w:left="1020" w:hanging="360"/>
      </w:pPr>
    </w:lvl>
  </w:abstractNum>
  <w:abstractNum w:abstractNumId="2" w15:restartNumberingAfterBreak="0">
    <w:nsid w:val="3AA76AA7"/>
    <w:multiLevelType w:val="hybridMultilevel"/>
    <w:tmpl w:val="BDC023C0"/>
    <w:lvl w:ilvl="0" w:tplc="EF14583C">
      <w:start w:val="1"/>
      <w:numFmt w:val="decimal"/>
      <w:lvlText w:val="%1)"/>
      <w:lvlJc w:val="left"/>
      <w:pPr>
        <w:ind w:left="1020" w:hanging="360"/>
      </w:pPr>
    </w:lvl>
    <w:lvl w:ilvl="1" w:tplc="48265CCA">
      <w:start w:val="1"/>
      <w:numFmt w:val="decimal"/>
      <w:lvlText w:val="%2)"/>
      <w:lvlJc w:val="left"/>
      <w:pPr>
        <w:ind w:left="1020" w:hanging="360"/>
      </w:pPr>
    </w:lvl>
    <w:lvl w:ilvl="2" w:tplc="1BFAA51E">
      <w:start w:val="1"/>
      <w:numFmt w:val="decimal"/>
      <w:lvlText w:val="%3)"/>
      <w:lvlJc w:val="left"/>
      <w:pPr>
        <w:ind w:left="1020" w:hanging="360"/>
      </w:pPr>
    </w:lvl>
    <w:lvl w:ilvl="3" w:tplc="170C724A">
      <w:start w:val="1"/>
      <w:numFmt w:val="decimal"/>
      <w:lvlText w:val="%4)"/>
      <w:lvlJc w:val="left"/>
      <w:pPr>
        <w:ind w:left="1020" w:hanging="360"/>
      </w:pPr>
    </w:lvl>
    <w:lvl w:ilvl="4" w:tplc="DCBA6BF0">
      <w:start w:val="1"/>
      <w:numFmt w:val="decimal"/>
      <w:lvlText w:val="%5)"/>
      <w:lvlJc w:val="left"/>
      <w:pPr>
        <w:ind w:left="1020" w:hanging="360"/>
      </w:pPr>
    </w:lvl>
    <w:lvl w:ilvl="5" w:tplc="6780F1F0">
      <w:start w:val="1"/>
      <w:numFmt w:val="decimal"/>
      <w:lvlText w:val="%6)"/>
      <w:lvlJc w:val="left"/>
      <w:pPr>
        <w:ind w:left="1020" w:hanging="360"/>
      </w:pPr>
    </w:lvl>
    <w:lvl w:ilvl="6" w:tplc="47D62A30">
      <w:start w:val="1"/>
      <w:numFmt w:val="decimal"/>
      <w:lvlText w:val="%7)"/>
      <w:lvlJc w:val="left"/>
      <w:pPr>
        <w:ind w:left="1020" w:hanging="360"/>
      </w:pPr>
    </w:lvl>
    <w:lvl w:ilvl="7" w:tplc="BD16833E">
      <w:start w:val="1"/>
      <w:numFmt w:val="decimal"/>
      <w:lvlText w:val="%8)"/>
      <w:lvlJc w:val="left"/>
      <w:pPr>
        <w:ind w:left="1020" w:hanging="360"/>
      </w:pPr>
    </w:lvl>
    <w:lvl w:ilvl="8" w:tplc="694ADB20">
      <w:start w:val="1"/>
      <w:numFmt w:val="decimal"/>
      <w:lvlText w:val="%9)"/>
      <w:lvlJc w:val="left"/>
      <w:pPr>
        <w:ind w:left="1020" w:hanging="360"/>
      </w:pPr>
    </w:lvl>
  </w:abstractNum>
  <w:num w:numId="1" w16cid:durableId="1885631032">
    <w:abstractNumId w:val="2"/>
  </w:num>
  <w:num w:numId="2" w16cid:durableId="675691406">
    <w:abstractNumId w:val="1"/>
  </w:num>
  <w:num w:numId="3" w16cid:durableId="1932616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45CF2"/>
    <w:rsid w:val="000A4FA6"/>
    <w:rsid w:val="000C78BC"/>
    <w:rsid w:val="000D1FC3"/>
    <w:rsid w:val="00153E9A"/>
    <w:rsid w:val="001D2F04"/>
    <w:rsid w:val="002226BB"/>
    <w:rsid w:val="002272B0"/>
    <w:rsid w:val="00246CF2"/>
    <w:rsid w:val="002E6A59"/>
    <w:rsid w:val="00300B92"/>
    <w:rsid w:val="0032148E"/>
    <w:rsid w:val="003238D9"/>
    <w:rsid w:val="00325F60"/>
    <w:rsid w:val="0035077C"/>
    <w:rsid w:val="00387491"/>
    <w:rsid w:val="003E10A2"/>
    <w:rsid w:val="003F3202"/>
    <w:rsid w:val="00444224"/>
    <w:rsid w:val="00483B05"/>
    <w:rsid w:val="004845A5"/>
    <w:rsid w:val="004B70FF"/>
    <w:rsid w:val="004E28B9"/>
    <w:rsid w:val="004E50FC"/>
    <w:rsid w:val="004E5450"/>
    <w:rsid w:val="0053680B"/>
    <w:rsid w:val="0059609A"/>
    <w:rsid w:val="00597659"/>
    <w:rsid w:val="005C0869"/>
    <w:rsid w:val="005D1700"/>
    <w:rsid w:val="005E48A2"/>
    <w:rsid w:val="005E62BE"/>
    <w:rsid w:val="00706947"/>
    <w:rsid w:val="00706B46"/>
    <w:rsid w:val="007103C6"/>
    <w:rsid w:val="00711813"/>
    <w:rsid w:val="00724E3C"/>
    <w:rsid w:val="00725CAE"/>
    <w:rsid w:val="00743C46"/>
    <w:rsid w:val="00760B17"/>
    <w:rsid w:val="007B0B58"/>
    <w:rsid w:val="00864314"/>
    <w:rsid w:val="00885303"/>
    <w:rsid w:val="008909C9"/>
    <w:rsid w:val="008918BF"/>
    <w:rsid w:val="00896047"/>
    <w:rsid w:val="008D5677"/>
    <w:rsid w:val="008F4125"/>
    <w:rsid w:val="00911B70"/>
    <w:rsid w:val="00913DC4"/>
    <w:rsid w:val="00947B77"/>
    <w:rsid w:val="00963F4B"/>
    <w:rsid w:val="00981E9B"/>
    <w:rsid w:val="009C2456"/>
    <w:rsid w:val="009D0EB1"/>
    <w:rsid w:val="009E2228"/>
    <w:rsid w:val="009F06D6"/>
    <w:rsid w:val="009F10C6"/>
    <w:rsid w:val="00A266B4"/>
    <w:rsid w:val="00A705FC"/>
    <w:rsid w:val="00A71DEF"/>
    <w:rsid w:val="00AB4A4A"/>
    <w:rsid w:val="00AC71CE"/>
    <w:rsid w:val="00AE2DA6"/>
    <w:rsid w:val="00B0356B"/>
    <w:rsid w:val="00B67571"/>
    <w:rsid w:val="00BC5FCC"/>
    <w:rsid w:val="00C132EC"/>
    <w:rsid w:val="00C60A71"/>
    <w:rsid w:val="00D252E4"/>
    <w:rsid w:val="00D26A06"/>
    <w:rsid w:val="00D55F3B"/>
    <w:rsid w:val="00DA2731"/>
    <w:rsid w:val="00DE54BC"/>
    <w:rsid w:val="00E47FEE"/>
    <w:rsid w:val="00E57E11"/>
    <w:rsid w:val="00E95F8D"/>
    <w:rsid w:val="00EF12F3"/>
    <w:rsid w:val="00F02477"/>
    <w:rsid w:val="00F90F73"/>
    <w:rsid w:val="00F97620"/>
    <w:rsid w:val="00FC1962"/>
    <w:rsid w:val="00F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7792D"/>
  <w15:chartTrackingRefBased/>
  <w15:docId w15:val="{61B533EF-133E-453A-97FA-064ED1928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C2456"/>
  </w:style>
  <w:style w:type="character" w:styleId="CommentReference">
    <w:name w:val="annotation reference"/>
    <w:uiPriority w:val="99"/>
    <w:semiHidden/>
    <w:unhideWhenUsed/>
    <w:rsid w:val="00325F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5F6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5F60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5F6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5F60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7103C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1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84e3ec-4587-4418-b23a-bd5009477010">
      <Terms xmlns="http://schemas.microsoft.com/office/infopath/2007/PartnerControls"/>
    </lcf76f155ced4ddcb4097134ff3c332f>
    <TaxCatchAll xmlns="79faf93c-7b46-4b26-8966-6d698e8b4062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5864D-4B71-49FC-8537-94F6BE4FB944}">
  <ds:schemaRefs>
    <ds:schemaRef ds:uri="http://schemas.microsoft.com/office/2006/metadata/properties"/>
    <ds:schemaRef ds:uri="http://schemas.microsoft.com/office/infopath/2007/PartnerControls"/>
    <ds:schemaRef ds:uri="4a84e3ec-4587-4418-b23a-bd5009477010"/>
    <ds:schemaRef ds:uri="79faf93c-7b46-4b26-8966-6d698e8b4062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2b3e37e-8171-485d-b10b-38dae7ed14a8}" enabled="0" method="" siteId="{82b3e37e-8171-485d-b10b-38dae7ed14a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313</Words>
  <Characters>2182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Kaylee Slater</cp:lastModifiedBy>
  <cp:revision>12</cp:revision>
  <cp:lastPrinted>2013-06-13T05:15:00Z</cp:lastPrinted>
  <dcterms:created xsi:type="dcterms:W3CDTF">2025-08-21T22:36:00Z</dcterms:created>
  <dcterms:modified xsi:type="dcterms:W3CDTF">2025-08-22T01:51:00Z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eca632fa-0f6b-43d4-a158-585d0578c846</vt:lpwstr>
  </property>
</Properties>
</file>