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DC3A7" w14:textId="6007122D" w:rsidR="006F5F2B" w:rsidRPr="00781589" w:rsidRDefault="006F5F2B" w:rsidP="00781589">
      <w:pPr>
        <w:pStyle w:val="Heading1"/>
        <w:rPr>
          <w:i/>
          <w:iCs/>
          <w:color w:val="000000" w:themeColor="text1"/>
        </w:rPr>
      </w:pPr>
      <w:r w:rsidRPr="00781589">
        <w:rPr>
          <w:rStyle w:val="Hyperlink"/>
          <w:i/>
          <w:iCs/>
          <w:color w:val="000000" w:themeColor="text1"/>
          <w:u w:val="none"/>
        </w:rPr>
        <w:t>REVISED VERSION - Round table ‘birds of a feather’ session</w:t>
      </w:r>
    </w:p>
    <w:p w14:paraId="026D7436" w14:textId="0B0ED9C4" w:rsidR="00781589" w:rsidRPr="00781589" w:rsidRDefault="00781589" w:rsidP="00781589">
      <w:pPr>
        <w:rPr>
          <w:b/>
          <w:bCs/>
          <w:lang w:val="en-GB"/>
        </w:rPr>
      </w:pPr>
      <w:r w:rsidRPr="00781589">
        <w:rPr>
          <w:b/>
          <w:bCs/>
        </w:rPr>
        <w:t>The essential r</w:t>
      </w:r>
      <w:r w:rsidRPr="00781589">
        <w:rPr>
          <w:b/>
          <w:bCs/>
          <w:lang w:val="en-GB"/>
        </w:rPr>
        <w:t xml:space="preserve">ole of scholarship in achieving and validating quality curricula: </w:t>
      </w:r>
      <w:r w:rsidR="00B86E7E">
        <w:rPr>
          <w:b/>
          <w:bCs/>
          <w:lang w:val="en-GB"/>
        </w:rPr>
        <w:t xml:space="preserve">building on </w:t>
      </w:r>
      <w:r w:rsidRPr="00781589">
        <w:rPr>
          <w:b/>
          <w:bCs/>
          <w:lang w:val="en-GB"/>
        </w:rPr>
        <w:t>a national project</w:t>
      </w:r>
    </w:p>
    <w:p w14:paraId="3C0FF8AF" w14:textId="77777777" w:rsidR="00781589" w:rsidRDefault="00781589" w:rsidP="00781589"/>
    <w:p w14:paraId="4BC42CD7" w14:textId="257F6446" w:rsidR="00781589" w:rsidRPr="00781589" w:rsidRDefault="00781589" w:rsidP="00781589">
      <w:pPr>
        <w:jc w:val="both"/>
        <w:rPr>
          <w:rFonts w:ascii="Calibri" w:hAnsi="Calibri" w:cs="Calibri"/>
        </w:rPr>
      </w:pPr>
      <w:r w:rsidRPr="004E5450">
        <w:t>Introduction.</w:t>
      </w:r>
      <w:r w:rsidRPr="00781589">
        <w:rPr>
          <w:lang w:val="en-GB"/>
        </w:rPr>
        <w:t xml:space="preserve"> </w:t>
      </w:r>
      <w:r w:rsidRPr="00B20E5D">
        <w:rPr>
          <w:lang w:val="en-GB"/>
        </w:rPr>
        <w:t xml:space="preserve">The </w:t>
      </w:r>
      <w:r>
        <w:rPr>
          <w:lang w:val="en-GB"/>
        </w:rPr>
        <w:t xml:space="preserve">inaugural </w:t>
      </w:r>
      <w:r w:rsidRPr="00B20E5D">
        <w:rPr>
          <w:lang w:val="en-GB"/>
        </w:rPr>
        <w:t>A</w:t>
      </w:r>
      <w:r>
        <w:rPr>
          <w:lang w:val="en-GB"/>
        </w:rPr>
        <w:t>ustralian Council of Deans of Science (A</w:t>
      </w:r>
      <w:r w:rsidRPr="00B20E5D">
        <w:rPr>
          <w:lang w:val="en-GB"/>
        </w:rPr>
        <w:t>CDS</w:t>
      </w:r>
      <w:r>
        <w:rPr>
          <w:lang w:val="en-GB"/>
        </w:rPr>
        <w:t>)</w:t>
      </w:r>
      <w:r w:rsidRPr="00B20E5D">
        <w:rPr>
          <w:lang w:val="en-GB"/>
        </w:rPr>
        <w:t xml:space="preserve"> National Teaching and Learning Fellowship</w:t>
      </w:r>
      <w:r>
        <w:rPr>
          <w:lang w:val="en-GB"/>
        </w:rPr>
        <w:t xml:space="preserve"> in 2019/20 was a response to the requirement for institutionally supported scholarship for teaching and learning (</w:t>
      </w:r>
      <w:proofErr w:type="spellStart"/>
      <w:r>
        <w:rPr>
          <w:lang w:val="en-GB"/>
        </w:rPr>
        <w:t>SoTL</w:t>
      </w:r>
      <w:proofErr w:type="spellEnd"/>
      <w:r>
        <w:rPr>
          <w:lang w:val="en-GB"/>
        </w:rPr>
        <w:t xml:space="preserve">). </w:t>
      </w:r>
      <w:r>
        <w:t>T</w:t>
      </w:r>
      <w:r>
        <w:rPr>
          <w:lang w:val="en-GB"/>
        </w:rPr>
        <w:t xml:space="preserve">o encourage adaption and adoption of scholarship by teaching teams of STEM curricula, a Curriculum Evaluation Research (CER) framework was promoted as one approach to providing distributed </w:t>
      </w:r>
      <w:r w:rsidRPr="000C5FC0">
        <w:rPr>
          <w:lang w:val="en-GB"/>
        </w:rPr>
        <w:t xml:space="preserve">leadership </w:t>
      </w:r>
      <w:r>
        <w:rPr>
          <w:lang w:val="en-GB"/>
        </w:rPr>
        <w:t xml:space="preserve">and </w:t>
      </w:r>
      <w:r w:rsidRPr="000C5FC0">
        <w:rPr>
          <w:lang w:val="en-GB"/>
        </w:rPr>
        <w:t>an environment to meet TEQSA</w:t>
      </w:r>
      <w:r>
        <w:rPr>
          <w:lang w:val="en-GB"/>
        </w:rPr>
        <w:t xml:space="preserve">’s expectations </w:t>
      </w:r>
      <w:r w:rsidRPr="000C5FC0">
        <w:rPr>
          <w:lang w:val="en-GB"/>
        </w:rPr>
        <w:t>for assuring quality in teaching and learning</w:t>
      </w:r>
      <w:r>
        <w:rPr>
          <w:lang w:val="en-GB"/>
        </w:rPr>
        <w:t xml:space="preserve">. The CER framework as an </w:t>
      </w:r>
      <w:r>
        <w:t xml:space="preserve">approach aims to </w:t>
      </w:r>
      <w:r w:rsidRPr="002E54B1">
        <w:rPr>
          <w:iCs/>
        </w:rPr>
        <w:t>empower teaching teams to undertake a scholarly approach to quality improvement</w:t>
      </w:r>
      <w:r>
        <w:rPr>
          <w:iCs/>
        </w:rPr>
        <w:t xml:space="preserve"> and quality assurance</w:t>
      </w:r>
      <w:r w:rsidRPr="002E54B1">
        <w:rPr>
          <w:iCs/>
        </w:rPr>
        <w:t xml:space="preserve"> to enhance student learning that is grounded in the discipline</w:t>
      </w:r>
      <w:r>
        <w:rPr>
          <w:iCs/>
        </w:rPr>
        <w:t>.</w:t>
      </w:r>
      <w:r>
        <w:rPr>
          <w:rFonts w:ascii="Calibri" w:hAnsi="Calibri" w:cs="Calibri"/>
        </w:rPr>
        <w:t xml:space="preserve"> Evaluation </w:t>
      </w:r>
      <w:r>
        <w:t xml:space="preserve">data for the Fellowship suggests strong support for the importance of responding to the TEQSA Guidance Note: Scholarship and neutral to good confidence that scholarship is important to their institution. </w:t>
      </w:r>
    </w:p>
    <w:p w14:paraId="67EF5C5F" w14:textId="5C4159A3" w:rsidR="00781589" w:rsidRDefault="00781589" w:rsidP="00781589">
      <w:pPr>
        <w:jc w:val="both"/>
        <w:rPr>
          <w:rFonts w:ascii="Calibri" w:hAnsi="Calibri" w:cs="Calibri"/>
        </w:rPr>
      </w:pPr>
      <w:r>
        <w:rPr>
          <w:rFonts w:ascii="Calibri" w:hAnsi="Calibri" w:cs="Calibri"/>
        </w:rPr>
        <w:t>Format of the round table</w:t>
      </w:r>
      <w:r w:rsidRPr="004E5450">
        <w:rPr>
          <w:rFonts w:ascii="Calibri" w:hAnsi="Calibri" w:cs="Calibri"/>
        </w:rPr>
        <w:t xml:space="preserve">. </w:t>
      </w:r>
      <w:r>
        <w:rPr>
          <w:rFonts w:ascii="Calibri" w:hAnsi="Calibri" w:cs="Calibri"/>
        </w:rPr>
        <w:t>Birds of a Feather</w:t>
      </w:r>
    </w:p>
    <w:p w14:paraId="64B78472" w14:textId="68002C39" w:rsidR="00781589" w:rsidRPr="004E5450" w:rsidRDefault="00781589" w:rsidP="00781589">
      <w:pPr>
        <w:jc w:val="both"/>
        <w:rPr>
          <w:rFonts w:ascii="Calibri" w:hAnsi="Calibri" w:cs="Calibri"/>
        </w:rPr>
      </w:pPr>
      <w:r>
        <w:rPr>
          <w:rFonts w:ascii="Calibri" w:hAnsi="Calibri" w:cs="Calibri"/>
        </w:rPr>
        <w:t>Topic</w:t>
      </w:r>
      <w:r w:rsidRPr="004B46D5">
        <w:rPr>
          <w:rFonts w:ascii="Calibri" w:hAnsi="Calibri" w:cs="Calibri"/>
        </w:rPr>
        <w:t xml:space="preserve"> for discussion</w:t>
      </w:r>
      <w:r>
        <w:rPr>
          <w:rFonts w:ascii="Calibri" w:hAnsi="Calibri" w:cs="Calibri"/>
        </w:rPr>
        <w:t xml:space="preserve">. </w:t>
      </w:r>
      <w:r>
        <w:t>How can higher education institutions value and implement strategies for teaching staff to engage in quality improvement and assurance of course curricula, that links to and integrates with Scholarship of Teaching?</w:t>
      </w:r>
    </w:p>
    <w:p w14:paraId="6F6104BE" w14:textId="4435CBA6" w:rsidR="00781589" w:rsidRPr="004E5450" w:rsidRDefault="00781589" w:rsidP="00781589">
      <w:pPr>
        <w:jc w:val="both"/>
        <w:rPr>
          <w:rFonts w:ascii="Calibri" w:hAnsi="Calibri" w:cs="Calibri"/>
        </w:rPr>
      </w:pPr>
      <w:r>
        <w:rPr>
          <w:rFonts w:ascii="Calibri" w:hAnsi="Calibri" w:cs="Calibri"/>
        </w:rPr>
        <w:t>Context/background</w:t>
      </w:r>
      <w:r w:rsidRPr="004E5450">
        <w:rPr>
          <w:rFonts w:ascii="Calibri" w:hAnsi="Calibri" w:cs="Calibri"/>
        </w:rPr>
        <w:t xml:space="preserve">. </w:t>
      </w:r>
      <w:r>
        <w:rPr>
          <w:lang w:val="en-GB"/>
        </w:rPr>
        <w:t xml:space="preserve">The </w:t>
      </w:r>
      <w:r w:rsidRPr="006305B9">
        <w:rPr>
          <w:i/>
          <w:iCs/>
          <w:lang w:val="en-GB"/>
        </w:rPr>
        <w:t>TEQSA Guidance Note: Scholarship</w:t>
      </w:r>
      <w:r w:rsidRPr="00B20E5D">
        <w:rPr>
          <w:lang w:val="en-GB"/>
        </w:rPr>
        <w:t xml:space="preserve"> </w:t>
      </w:r>
      <w:r>
        <w:rPr>
          <w:lang w:val="en-GB"/>
        </w:rPr>
        <w:t xml:space="preserve">(2018) interprets five standards in the Higher Education Standards Framework (HESF). It asserts that individuals and institutions must be able </w:t>
      </w:r>
      <w:r w:rsidRPr="00B20E5D">
        <w:rPr>
          <w:lang w:val="en-GB"/>
        </w:rPr>
        <w:t xml:space="preserve">to provide evidence that the research and scholarship of </w:t>
      </w:r>
      <w:r>
        <w:rPr>
          <w:lang w:val="en-GB"/>
        </w:rPr>
        <w:t xml:space="preserve">all academic </w:t>
      </w:r>
      <w:r w:rsidRPr="00B20E5D">
        <w:rPr>
          <w:lang w:val="en-GB"/>
        </w:rPr>
        <w:t xml:space="preserve">staff informs the </w:t>
      </w:r>
      <w:r>
        <w:rPr>
          <w:lang w:val="en-GB"/>
        </w:rPr>
        <w:t xml:space="preserve">quality of the </w:t>
      </w:r>
      <w:r w:rsidRPr="00B20E5D">
        <w:rPr>
          <w:lang w:val="en-GB"/>
        </w:rPr>
        <w:t>course they are teaching</w:t>
      </w:r>
      <w:r>
        <w:rPr>
          <w:lang w:val="en-GB"/>
        </w:rPr>
        <w:t xml:space="preserve"> and occurs in a climate of scholarship.</w:t>
      </w:r>
      <w:r w:rsidRPr="00B20E5D">
        <w:rPr>
          <w:lang w:val="en-GB"/>
        </w:rPr>
        <w:t xml:space="preserve"> </w:t>
      </w:r>
    </w:p>
    <w:p w14:paraId="77FFEC79" w14:textId="14C5382C" w:rsidR="00781589" w:rsidRDefault="00781589" w:rsidP="00781589">
      <w:pPr>
        <w:jc w:val="both"/>
        <w:rPr>
          <w:rFonts w:ascii="Calibri" w:hAnsi="Calibri" w:cs="Calibri"/>
        </w:rPr>
      </w:pPr>
      <w:r>
        <w:rPr>
          <w:rFonts w:ascii="Calibri" w:hAnsi="Calibri" w:cs="Calibri"/>
        </w:rPr>
        <w:t>Intended outcome</w:t>
      </w:r>
      <w:r w:rsidRPr="004E5450">
        <w:rPr>
          <w:rFonts w:ascii="Calibri" w:hAnsi="Calibri" w:cs="Calibri"/>
        </w:rPr>
        <w:t xml:space="preserve">. </w:t>
      </w:r>
      <w:r>
        <w:rPr>
          <w:rFonts w:ascii="Calibri" w:hAnsi="Calibri" w:cs="Calibri"/>
        </w:rPr>
        <w:t>Identify barriers and opportunities to meeting the challenge posed by the TEQSA Guidance Note: Scholarship, from institutional and course curriculum/faculty teaching team, perspectives.</w:t>
      </w:r>
    </w:p>
    <w:p w14:paraId="505F3BA4" w14:textId="77777777" w:rsidR="00781589" w:rsidRDefault="00781589" w:rsidP="00781589"/>
    <w:p w14:paraId="7579B80E" w14:textId="6D08B73D" w:rsidR="00781589" w:rsidRDefault="00781589" w:rsidP="00781589">
      <w:pPr>
        <w:rPr>
          <w:rStyle w:val="Hyperlink"/>
          <w:rFonts w:ascii="Calibri" w:hAnsi="Calibri" w:cs="Calibri"/>
        </w:rPr>
      </w:pPr>
      <w:r w:rsidRPr="000C5FC0">
        <w:t xml:space="preserve">TEQSA. (2018). </w:t>
      </w:r>
      <w:r w:rsidRPr="000C5FC0">
        <w:rPr>
          <w:i/>
          <w:iCs/>
        </w:rPr>
        <w:t>Guidance Note: Scholarship (Version 2.5_2, 12 December 2018)</w:t>
      </w:r>
      <w:r w:rsidRPr="000C5FC0">
        <w:t>. Canberra, Australia: T</w:t>
      </w:r>
      <w:r>
        <w:t>EQSA</w:t>
      </w:r>
      <w:r w:rsidRPr="000C5FC0">
        <w:rPr>
          <w:i/>
          <w:iCs/>
        </w:rPr>
        <w:t>.</w:t>
      </w:r>
      <w:r w:rsidRPr="000C5FC0">
        <w:t xml:space="preserve"> </w:t>
      </w:r>
      <w:r>
        <w:t xml:space="preserve">Retrieved 5 February 2020. </w:t>
      </w:r>
      <w:r w:rsidRPr="000C5FC0">
        <w:t xml:space="preserve">Available: </w:t>
      </w:r>
      <w:hyperlink r:id="rId8" w:history="1">
        <w:r w:rsidRPr="000C5FC0">
          <w:rPr>
            <w:rStyle w:val="Hyperlink"/>
            <w:rFonts w:ascii="Calibri" w:hAnsi="Calibri" w:cs="Calibri"/>
          </w:rPr>
          <w:t>https://www.teqsa.gov.au/latest-news/publications/guidance-note-scholarship</w:t>
        </w:r>
      </w:hyperlink>
    </w:p>
    <w:sectPr w:rsidR="00781589" w:rsidSect="00EF12F3">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D3703"/>
    <w:multiLevelType w:val="hybridMultilevel"/>
    <w:tmpl w:val="88768F92"/>
    <w:lvl w:ilvl="0" w:tplc="07280782">
      <w:start w:val="1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21EEF"/>
    <w:multiLevelType w:val="hybridMultilevel"/>
    <w:tmpl w:val="FB58ECAE"/>
    <w:lvl w:ilvl="0" w:tplc="81586F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03D71"/>
    <w:rsid w:val="0002176F"/>
    <w:rsid w:val="000B6807"/>
    <w:rsid w:val="000C5FC0"/>
    <w:rsid w:val="00185AC9"/>
    <w:rsid w:val="001A6C26"/>
    <w:rsid w:val="002226BB"/>
    <w:rsid w:val="002272B0"/>
    <w:rsid w:val="002A3B73"/>
    <w:rsid w:val="002E54B1"/>
    <w:rsid w:val="00300B92"/>
    <w:rsid w:val="00334283"/>
    <w:rsid w:val="00387491"/>
    <w:rsid w:val="003D2054"/>
    <w:rsid w:val="00483B05"/>
    <w:rsid w:val="004C0A4F"/>
    <w:rsid w:val="004E28B9"/>
    <w:rsid w:val="004E5450"/>
    <w:rsid w:val="0055477C"/>
    <w:rsid w:val="0059609A"/>
    <w:rsid w:val="00597659"/>
    <w:rsid w:val="005C5F5C"/>
    <w:rsid w:val="005E48A2"/>
    <w:rsid w:val="00600F91"/>
    <w:rsid w:val="00626DD3"/>
    <w:rsid w:val="006305B9"/>
    <w:rsid w:val="006F5F2B"/>
    <w:rsid w:val="00711813"/>
    <w:rsid w:val="00724E3C"/>
    <w:rsid w:val="00743C46"/>
    <w:rsid w:val="00781589"/>
    <w:rsid w:val="008440A1"/>
    <w:rsid w:val="008755CF"/>
    <w:rsid w:val="00892948"/>
    <w:rsid w:val="008D78E5"/>
    <w:rsid w:val="00906B32"/>
    <w:rsid w:val="00947B77"/>
    <w:rsid w:val="009517A0"/>
    <w:rsid w:val="009B68C6"/>
    <w:rsid w:val="009E2228"/>
    <w:rsid w:val="009E56BD"/>
    <w:rsid w:val="009F06D6"/>
    <w:rsid w:val="00A266B4"/>
    <w:rsid w:val="00A453C9"/>
    <w:rsid w:val="00A61A12"/>
    <w:rsid w:val="00A94493"/>
    <w:rsid w:val="00B20E5D"/>
    <w:rsid w:val="00B86E7E"/>
    <w:rsid w:val="00B95953"/>
    <w:rsid w:val="00BC5B73"/>
    <w:rsid w:val="00BC5FCC"/>
    <w:rsid w:val="00C503EF"/>
    <w:rsid w:val="00C60A71"/>
    <w:rsid w:val="00CA60E9"/>
    <w:rsid w:val="00CB44EB"/>
    <w:rsid w:val="00D05C74"/>
    <w:rsid w:val="00D55F3B"/>
    <w:rsid w:val="00DA2731"/>
    <w:rsid w:val="00DA7E43"/>
    <w:rsid w:val="00DE7409"/>
    <w:rsid w:val="00EF12F3"/>
    <w:rsid w:val="00F61377"/>
    <w:rsid w:val="00F976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87991"/>
  <w15:chartTrackingRefBased/>
  <w15:docId w15:val="{149F9D80-D1FF-4452-B529-A9C94F77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F2B"/>
    <w:rPr>
      <w:rFonts w:asciiTheme="minorHAnsi" w:hAnsiTheme="minorHAnsi" w:cstheme="minorHAnsi"/>
      <w:lang w:eastAsia="en-US"/>
    </w:rPr>
  </w:style>
  <w:style w:type="paragraph" w:styleId="Heading1">
    <w:name w:val="heading 1"/>
    <w:basedOn w:val="Normal"/>
    <w:next w:val="Normal"/>
    <w:qFormat/>
    <w:rsid w:val="006F5F2B"/>
    <w:pPr>
      <w:jc w:val="both"/>
      <w:outlineLvl w:val="0"/>
    </w:pPr>
    <w:rPr>
      <w:rFonts w:ascii="Calibri" w:hAnsi="Calibri" w:cs="Calibri"/>
      <w:b/>
    </w:rPr>
  </w:style>
  <w:style w:type="paragraph" w:styleId="Heading3">
    <w:name w:val="heading 3"/>
    <w:basedOn w:val="Normal"/>
    <w:next w:val="Normal"/>
    <w:qFormat/>
    <w:pPr>
      <w:keepNext/>
      <w:spacing w:before="120" w:after="60"/>
      <w:jc w:val="center"/>
      <w:outlineLvl w:val="2"/>
    </w:pPr>
    <w:rPr>
      <w:b/>
      <w:caps/>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paragraph" w:styleId="ListParagraph">
    <w:name w:val="List Paragraph"/>
    <w:basedOn w:val="Normal"/>
    <w:uiPriority w:val="34"/>
    <w:qFormat/>
    <w:rsid w:val="0002176F"/>
    <w:pPr>
      <w:ind w:left="720"/>
    </w:pPr>
  </w:style>
  <w:style w:type="character" w:styleId="Hyperlink">
    <w:name w:val="Hyperlink"/>
    <w:uiPriority w:val="99"/>
    <w:unhideWhenUsed/>
    <w:rsid w:val="000C5FC0"/>
    <w:rPr>
      <w:color w:val="0563C1"/>
      <w:u w:val="single"/>
    </w:rPr>
  </w:style>
  <w:style w:type="character" w:styleId="UnresolvedMention">
    <w:name w:val="Unresolved Mention"/>
    <w:uiPriority w:val="99"/>
    <w:semiHidden/>
    <w:unhideWhenUsed/>
    <w:rsid w:val="000C5FC0"/>
    <w:rPr>
      <w:color w:val="605E5C"/>
      <w:shd w:val="clear" w:color="auto" w:fill="E1DFDD"/>
    </w:rPr>
  </w:style>
  <w:style w:type="character" w:styleId="FollowedHyperlink">
    <w:name w:val="FollowedHyperlink"/>
    <w:uiPriority w:val="99"/>
    <w:semiHidden/>
    <w:unhideWhenUsed/>
    <w:rsid w:val="00CB44EB"/>
    <w:rPr>
      <w:color w:val="954F72"/>
      <w:u w:val="single"/>
    </w:rPr>
  </w:style>
  <w:style w:type="table" w:styleId="TableGrid">
    <w:name w:val="Table Grid"/>
    <w:basedOn w:val="TableNormal"/>
    <w:uiPriority w:val="39"/>
    <w:rsid w:val="002E54B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5136">
      <w:bodyDiv w:val="1"/>
      <w:marLeft w:val="0"/>
      <w:marRight w:val="0"/>
      <w:marTop w:val="0"/>
      <w:marBottom w:val="0"/>
      <w:divBdr>
        <w:top w:val="none" w:sz="0" w:space="0" w:color="auto"/>
        <w:left w:val="none" w:sz="0" w:space="0" w:color="auto"/>
        <w:bottom w:val="none" w:sz="0" w:space="0" w:color="auto"/>
        <w:right w:val="none" w:sz="0" w:space="0" w:color="auto"/>
      </w:divBdr>
    </w:div>
    <w:div w:id="313949618">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1739285849">
      <w:bodyDiv w:val="1"/>
      <w:marLeft w:val="0"/>
      <w:marRight w:val="0"/>
      <w:marTop w:val="0"/>
      <w:marBottom w:val="0"/>
      <w:divBdr>
        <w:top w:val="none" w:sz="0" w:space="0" w:color="auto"/>
        <w:left w:val="none" w:sz="0" w:space="0" w:color="auto"/>
        <w:bottom w:val="none" w:sz="0" w:space="0" w:color="auto"/>
        <w:right w:val="none" w:sz="0" w:space="0" w:color="auto"/>
      </w:divBdr>
    </w:div>
    <w:div w:id="2042509710">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qsa.gov.au/latest-news/publications/guidance-note-scholarsh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43F95CE2D9A46B06BD63A46CEB99E" ma:contentTypeVersion="13" ma:contentTypeDescription="Create a new document." ma:contentTypeScope="" ma:versionID="8be67ab558448905c3ce089c5c4ef763">
  <xsd:schema xmlns:xsd="http://www.w3.org/2001/XMLSchema" xmlns:xs="http://www.w3.org/2001/XMLSchema" xmlns:p="http://schemas.microsoft.com/office/2006/metadata/properties" xmlns:ns3="fdefaa7d-dd89-4230-8e91-c31b75a803df" xmlns:ns4="53d21271-0224-4636-8535-0d56c784b95e" targetNamespace="http://schemas.microsoft.com/office/2006/metadata/properties" ma:root="true" ma:fieldsID="5992f8856fe4e489af8537b3fd9a787f" ns3:_="" ns4:_="">
    <xsd:import namespace="fdefaa7d-dd89-4230-8e91-c31b75a803df"/>
    <xsd:import namespace="53d21271-0224-4636-8535-0d56c784b9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faa7d-dd89-4230-8e91-c31b75a80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21271-0224-4636-8535-0d56c784b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E9FF5-AB5D-4E9D-AD3B-D8B3FA45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faa7d-dd89-4230-8e91-c31b75a803df"/>
    <ds:schemaRef ds:uri="53d21271-0224-4636-8535-0d56c784b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5DE03-8727-4393-9E92-5301D2F6BF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116AEE-8FF7-49FA-AF05-E135EBADE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Manager/>
  <Company>clems</Company>
  <LinksUpToDate>false</LinksUpToDate>
  <CharactersWithSpaces>2292</CharactersWithSpaces>
  <SharedDoc>false</SharedDoc>
  <HyperlinkBase/>
  <HLinks>
    <vt:vector size="12" baseType="variant">
      <vt:variant>
        <vt:i4>6684697</vt:i4>
      </vt:variant>
      <vt:variant>
        <vt:i4>3</vt:i4>
      </vt:variant>
      <vt:variant>
        <vt:i4>0</vt:i4>
      </vt:variant>
      <vt:variant>
        <vt:i4>5</vt:i4>
      </vt:variant>
      <vt:variant>
        <vt:lpwstr>https://docs-edu.govcms.gov.au/system/files/doc/other/impact_resources.pdf</vt:lpwstr>
      </vt:variant>
      <vt:variant>
        <vt:lpwstr/>
      </vt:variant>
      <vt:variant>
        <vt:i4>8126569</vt:i4>
      </vt:variant>
      <vt:variant>
        <vt:i4>0</vt:i4>
      </vt:variant>
      <vt:variant>
        <vt:i4>0</vt:i4>
      </vt:variant>
      <vt:variant>
        <vt:i4>5</vt:i4>
      </vt:variant>
      <vt:variant>
        <vt:lpwstr>https://www.teqsa.gov.au/latest-news/publications/guidance-note-scholarship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dc:description/>
  <cp:lastModifiedBy>Zoe Keogh</cp:lastModifiedBy>
  <cp:revision>2</cp:revision>
  <cp:lastPrinted>2013-06-13T05:15:00Z</cp:lastPrinted>
  <dcterms:created xsi:type="dcterms:W3CDTF">2021-04-08T00:23:00Z</dcterms:created>
  <dcterms:modified xsi:type="dcterms:W3CDTF">2021-04-08T00:23:00Z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0x01010099343F95CE2D9A46B06BD63A46CEB99E</vt:lpwstr>
  </property>
</Properties>
</file>