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753A1A54" w:rsidR="00C315D2" w:rsidRPr="00C315D2" w:rsidRDefault="00C25AAD" w:rsidP="5E2C5F31">
      <w:pPr>
        <w:spacing w:after="0" w:line="240" w:lineRule="auto"/>
        <w:rPr>
          <w:rFonts w:ascii="Arial" w:eastAsia="Calibri" w:hAnsi="Arial" w:cs="Calibri"/>
          <w:b/>
          <w:bCs/>
          <w:kern w:val="0"/>
          <w:lang w:val="en-US"/>
          <w14:ligatures w14:val="none"/>
        </w:rPr>
      </w:pPr>
      <w:r w:rsidRPr="00C25AAD">
        <w:rPr>
          <w:rFonts w:ascii="Arial" w:eastAsia="Calibri" w:hAnsi="Arial" w:cs="Calibri"/>
          <w:b/>
          <w:bCs/>
          <w:kern w:val="0"/>
          <w:lang w:val="en-US"/>
          <w14:ligatures w14:val="none"/>
        </w:rPr>
        <w:t xml:space="preserve">Development of Seasonal Influenza Vaccine Using Needle-Free Intraepidermal Administration Device </w:t>
      </w:r>
    </w:p>
    <w:p w14:paraId="6C8726AA" w14:textId="77777777" w:rsidR="00EE1BB2" w:rsidRDefault="00EE1BB2" w:rsidP="00C25AAD">
      <w:pPr>
        <w:spacing w:after="0" w:line="240" w:lineRule="auto"/>
        <w:rPr>
          <w:rFonts w:ascii="Arial" w:hAnsi="Arial" w:cs="Calibri"/>
          <w:b/>
          <w:kern w:val="0"/>
          <w:sz w:val="20"/>
          <w:szCs w:val="20"/>
          <w:u w:val="single"/>
          <w:lang w:eastAsia="ja-JP"/>
          <w14:ligatures w14:val="none"/>
        </w:rPr>
      </w:pPr>
    </w:p>
    <w:p w14:paraId="75B787D0" w14:textId="45ABD7EB" w:rsidR="00C25AAD" w:rsidRDefault="00C25AAD" w:rsidP="00C25AAD">
      <w:pPr>
        <w:spacing w:after="0" w:line="240" w:lineRule="auto"/>
        <w:rPr>
          <w:rFonts w:ascii="Arial" w:hAnsi="Arial" w:cs="Calibri"/>
          <w:bCs/>
          <w:kern w:val="0"/>
          <w:sz w:val="20"/>
          <w:szCs w:val="20"/>
          <w:lang w:eastAsia="ja-JP"/>
          <w14:ligatures w14:val="none"/>
        </w:rPr>
      </w:pPr>
      <w:r w:rsidRPr="00C25AAD">
        <w:rPr>
          <w:rFonts w:ascii="Arial" w:eastAsia="Calibri" w:hAnsi="Arial" w:cs="Calibri"/>
          <w:b/>
          <w:kern w:val="0"/>
          <w:sz w:val="20"/>
          <w:szCs w:val="20"/>
          <w:u w:val="single"/>
          <w14:ligatures w14:val="none"/>
        </w:rPr>
        <w:t>Keiichi Motoyama</w:t>
      </w:r>
      <w:r w:rsidRPr="00C25AAD">
        <w:rPr>
          <w:rFonts w:ascii="Arial" w:eastAsia="Calibri" w:hAnsi="Arial" w:cs="Calibri"/>
          <w:b/>
          <w:kern w:val="0"/>
          <w:sz w:val="20"/>
          <w:szCs w:val="20"/>
          <w:u w:val="single"/>
          <w:vertAlign w:val="superscript"/>
          <w14:ligatures w14:val="none"/>
        </w:rPr>
        <w:t>1,2</w:t>
      </w:r>
      <w:r w:rsidR="00C315D2" w:rsidRPr="00C315D2">
        <w:rPr>
          <w:rFonts w:ascii="Arial" w:eastAsia="Calibri" w:hAnsi="Arial" w:cs="Calibri"/>
          <w:bCs/>
          <w:kern w:val="0"/>
          <w:sz w:val="20"/>
          <w:szCs w:val="20"/>
          <w14:ligatures w14:val="none"/>
        </w:rPr>
        <w:t xml:space="preserve">, </w:t>
      </w:r>
      <w:r w:rsidRPr="00C25AAD">
        <w:rPr>
          <w:rFonts w:ascii="Arial" w:eastAsia="Calibri" w:hAnsi="Arial" w:cs="Calibri"/>
          <w:bCs/>
          <w:kern w:val="0"/>
          <w:sz w:val="20"/>
          <w:szCs w:val="20"/>
          <w14:ligatures w14:val="none"/>
        </w:rPr>
        <w:t>Masahiro Ogura</w:t>
      </w:r>
      <w:r w:rsidRPr="00C25AAD">
        <w:rPr>
          <w:rFonts w:ascii="Arial" w:eastAsia="Calibri" w:hAnsi="Arial" w:cs="Calibri"/>
          <w:bCs/>
          <w:kern w:val="0"/>
          <w:sz w:val="20"/>
          <w:szCs w:val="20"/>
          <w:vertAlign w:val="superscript"/>
          <w14:ligatures w14:val="none"/>
        </w:rPr>
        <w:t>1</w:t>
      </w:r>
      <w:r w:rsidRPr="00C25AAD">
        <w:rPr>
          <w:rFonts w:ascii="Arial" w:eastAsia="Calibri" w:hAnsi="Arial" w:cs="Calibri"/>
          <w:bCs/>
          <w:kern w:val="0"/>
          <w:sz w:val="20"/>
          <w:szCs w:val="20"/>
          <w14:ligatures w14:val="none"/>
        </w:rPr>
        <w:t xml:space="preserve">, </w:t>
      </w:r>
      <w:proofErr w:type="spellStart"/>
      <w:r w:rsidRPr="00C25AAD">
        <w:rPr>
          <w:rFonts w:ascii="Arial" w:eastAsia="Calibri" w:hAnsi="Arial" w:cs="Calibri"/>
          <w:bCs/>
          <w:kern w:val="0"/>
          <w:sz w:val="20"/>
          <w:szCs w:val="20"/>
          <w14:ligatures w14:val="none"/>
        </w:rPr>
        <w:t>Riru</w:t>
      </w:r>
      <w:proofErr w:type="spellEnd"/>
      <w:r w:rsidRPr="00C25AAD">
        <w:rPr>
          <w:rFonts w:ascii="Arial" w:eastAsia="Calibri" w:hAnsi="Arial" w:cs="Calibri"/>
          <w:bCs/>
          <w:kern w:val="0"/>
          <w:sz w:val="20"/>
          <w:szCs w:val="20"/>
          <w14:ligatures w14:val="none"/>
        </w:rPr>
        <w:t xml:space="preserve"> Onigahara</w:t>
      </w:r>
      <w:r w:rsidRPr="00C25AAD">
        <w:rPr>
          <w:rFonts w:ascii="Arial" w:eastAsia="Calibri" w:hAnsi="Arial" w:cs="Calibri"/>
          <w:bCs/>
          <w:kern w:val="0"/>
          <w:sz w:val="20"/>
          <w:szCs w:val="20"/>
          <w:vertAlign w:val="superscript"/>
          <w14:ligatures w14:val="none"/>
        </w:rPr>
        <w:t>1</w:t>
      </w:r>
      <w:r w:rsidRPr="00C25AAD">
        <w:rPr>
          <w:rFonts w:ascii="Arial" w:eastAsia="Calibri" w:hAnsi="Arial" w:cs="Calibri"/>
          <w:bCs/>
          <w:kern w:val="0"/>
          <w:sz w:val="20"/>
          <w:szCs w:val="20"/>
          <w14:ligatures w14:val="none"/>
        </w:rPr>
        <w:t>, Shogo Misumi</w:t>
      </w:r>
      <w:r w:rsidRPr="00C25AAD">
        <w:rPr>
          <w:rFonts w:ascii="Arial" w:eastAsia="Calibri" w:hAnsi="Arial" w:cs="Calibri"/>
          <w:bCs/>
          <w:kern w:val="0"/>
          <w:sz w:val="20"/>
          <w:szCs w:val="20"/>
          <w:vertAlign w:val="superscript"/>
          <w14:ligatures w14:val="none"/>
        </w:rPr>
        <w:t>1,2</w:t>
      </w:r>
      <w:r w:rsidRPr="00C25AAD">
        <w:rPr>
          <w:rFonts w:ascii="Arial" w:eastAsia="Calibri" w:hAnsi="Arial" w:cs="Calibri"/>
          <w:bCs/>
          <w:kern w:val="0"/>
          <w:sz w:val="20"/>
          <w:szCs w:val="20"/>
          <w14:ligatures w14:val="none"/>
        </w:rPr>
        <w:t>, Naoki Kishimoto</w:t>
      </w:r>
      <w:r w:rsidRPr="00C25AAD">
        <w:rPr>
          <w:rFonts w:ascii="Arial" w:eastAsia="Calibri" w:hAnsi="Arial" w:cs="Calibri"/>
          <w:bCs/>
          <w:kern w:val="0"/>
          <w:sz w:val="20"/>
          <w:szCs w:val="20"/>
          <w:vertAlign w:val="superscript"/>
          <w14:ligatures w14:val="none"/>
        </w:rPr>
        <w:t>1,2</w:t>
      </w:r>
      <w:r w:rsidRPr="00C25AAD">
        <w:rPr>
          <w:rFonts w:ascii="Arial" w:eastAsia="Calibri" w:hAnsi="Arial" w:cs="Calibri"/>
          <w:bCs/>
          <w:kern w:val="0"/>
          <w:sz w:val="20"/>
          <w:szCs w:val="20"/>
          <w14:ligatures w14:val="none"/>
        </w:rPr>
        <w:t>, Hirotoshi Adachi</w:t>
      </w:r>
      <w:r w:rsidRPr="00C25AAD">
        <w:rPr>
          <w:rFonts w:ascii="Arial" w:eastAsia="Calibri" w:hAnsi="Arial" w:cs="Calibri"/>
          <w:bCs/>
          <w:kern w:val="0"/>
          <w:sz w:val="20"/>
          <w:szCs w:val="20"/>
          <w:vertAlign w:val="superscript"/>
          <w14:ligatures w14:val="none"/>
        </w:rPr>
        <w:t>3</w:t>
      </w:r>
      <w:r w:rsidRPr="00C25AAD">
        <w:rPr>
          <w:rFonts w:ascii="Arial" w:eastAsia="Calibri" w:hAnsi="Arial" w:cs="Calibri"/>
          <w:bCs/>
          <w:kern w:val="0"/>
          <w:sz w:val="20"/>
          <w:szCs w:val="20"/>
          <w14:ligatures w14:val="none"/>
        </w:rPr>
        <w:t>, Masahiko Kikuchi</w:t>
      </w:r>
      <w:r w:rsidRPr="00C25AAD">
        <w:rPr>
          <w:rFonts w:ascii="Arial" w:eastAsia="Calibri" w:hAnsi="Arial" w:cs="Calibri"/>
          <w:bCs/>
          <w:kern w:val="0"/>
          <w:sz w:val="20"/>
          <w:szCs w:val="20"/>
          <w:vertAlign w:val="superscript"/>
          <w14:ligatures w14:val="none"/>
        </w:rPr>
        <w:t>2,4</w:t>
      </w:r>
      <w:r w:rsidRPr="00C25AAD">
        <w:rPr>
          <w:rFonts w:ascii="Arial" w:eastAsia="Calibri" w:hAnsi="Arial" w:cs="Calibri"/>
          <w:bCs/>
          <w:kern w:val="0"/>
          <w:sz w:val="20"/>
          <w:szCs w:val="20"/>
          <w14:ligatures w14:val="none"/>
        </w:rPr>
        <w:t>, Toru Taharabaru</w:t>
      </w:r>
      <w:r w:rsidRPr="00C25AAD">
        <w:rPr>
          <w:rFonts w:ascii="Arial" w:eastAsia="Calibri" w:hAnsi="Arial" w:cs="Calibri"/>
          <w:bCs/>
          <w:kern w:val="0"/>
          <w:sz w:val="20"/>
          <w:szCs w:val="20"/>
          <w:vertAlign w:val="superscript"/>
          <w14:ligatures w14:val="none"/>
        </w:rPr>
        <w:t>1</w:t>
      </w:r>
      <w:r w:rsidRPr="00C25AAD">
        <w:rPr>
          <w:rFonts w:ascii="Arial" w:eastAsia="Calibri" w:hAnsi="Arial" w:cs="Calibri"/>
          <w:bCs/>
          <w:kern w:val="0"/>
          <w:sz w:val="20"/>
          <w:szCs w:val="20"/>
          <w14:ligatures w14:val="none"/>
        </w:rPr>
        <w:t>, Taishi Higashi</w:t>
      </w:r>
      <w:r w:rsidRPr="00C25AAD">
        <w:rPr>
          <w:rFonts w:ascii="Arial" w:eastAsia="Calibri" w:hAnsi="Arial" w:cs="Calibri"/>
          <w:bCs/>
          <w:kern w:val="0"/>
          <w:sz w:val="20"/>
          <w:szCs w:val="20"/>
          <w:vertAlign w:val="superscript"/>
          <w14:ligatures w14:val="none"/>
        </w:rPr>
        <w:t>1,2</w:t>
      </w:r>
      <w:r w:rsidRPr="00C315D2">
        <w:rPr>
          <w:rFonts w:ascii="Arial" w:eastAsia="Calibri" w:hAnsi="Arial" w:cs="Calibri"/>
          <w:bCs/>
          <w:kern w:val="0"/>
          <w:sz w:val="20"/>
          <w:szCs w:val="20"/>
          <w14:ligatures w14:val="none"/>
        </w:rPr>
        <w:t>.</w:t>
      </w:r>
    </w:p>
    <w:p w14:paraId="0189855E" w14:textId="77777777" w:rsidR="00EE1BB2" w:rsidRDefault="00EE1BB2" w:rsidP="4FE71DF4">
      <w:pPr>
        <w:spacing w:after="0" w:line="240" w:lineRule="auto"/>
        <w:rPr>
          <w:rFonts w:ascii="Arial" w:hAnsi="Arial" w:cs="Calibri"/>
          <w:bCs/>
          <w:kern w:val="0"/>
          <w:sz w:val="20"/>
          <w:szCs w:val="20"/>
          <w:lang w:eastAsia="ja-JP"/>
          <w14:ligatures w14:val="none"/>
        </w:rPr>
      </w:pPr>
    </w:p>
    <w:p w14:paraId="58ED498E" w14:textId="17E32EDD" w:rsidR="00C25AAD" w:rsidRDefault="00C25AAD" w:rsidP="4FE71DF4">
      <w:pPr>
        <w:spacing w:after="0" w:line="240" w:lineRule="auto"/>
        <w:rPr>
          <w:rFonts w:ascii="Arial" w:hAnsi="Arial" w:cs="Calibri"/>
          <w:bCs/>
          <w:kern w:val="0"/>
          <w:sz w:val="20"/>
          <w:szCs w:val="20"/>
          <w:lang w:eastAsia="ja-JP"/>
          <w14:ligatures w14:val="none"/>
        </w:rPr>
      </w:pPr>
      <w:r w:rsidRPr="00C25AAD">
        <w:rPr>
          <w:rFonts w:ascii="Arial" w:eastAsia="Calibri" w:hAnsi="Arial" w:cs="Calibri"/>
          <w:bCs/>
          <w:kern w:val="0"/>
          <w:sz w:val="20"/>
          <w:szCs w:val="20"/>
          <w14:ligatures w14:val="none"/>
        </w:rPr>
        <w:t>Graduate School of Pharmaceutical Sciences, Kumamoto University</w:t>
      </w:r>
      <w:r w:rsidRPr="00C25AAD">
        <w:rPr>
          <w:rFonts w:ascii="Arial" w:eastAsia="Calibri" w:hAnsi="Arial" w:cs="Calibri"/>
          <w:bCs/>
          <w:kern w:val="0"/>
          <w:sz w:val="20"/>
          <w:szCs w:val="20"/>
          <w:vertAlign w:val="superscript"/>
          <w14:ligatures w14:val="none"/>
        </w:rPr>
        <w:t>1</w:t>
      </w:r>
      <w:r w:rsidRPr="00C25AAD">
        <w:rPr>
          <w:rFonts w:ascii="Arial" w:eastAsia="Calibri" w:hAnsi="Arial" w:cs="Calibri"/>
          <w:bCs/>
          <w:kern w:val="0"/>
          <w:sz w:val="20"/>
          <w:szCs w:val="20"/>
          <w14:ligatures w14:val="none"/>
        </w:rPr>
        <w:t>, Kumamoto, Japan</w:t>
      </w:r>
      <w:r>
        <w:rPr>
          <w:rFonts w:ascii="Arial" w:eastAsia="Calibri" w:hAnsi="Arial" w:cs="Calibri"/>
          <w:bCs/>
          <w:kern w:val="0"/>
          <w:sz w:val="20"/>
          <w:szCs w:val="20"/>
          <w14:ligatures w14:val="none"/>
        </w:rPr>
        <w:t>;</w:t>
      </w:r>
    </w:p>
    <w:p w14:paraId="03D544A6" w14:textId="5D108A4B" w:rsidR="00C25AAD" w:rsidRDefault="00C25AAD" w:rsidP="4FE71DF4">
      <w:pPr>
        <w:spacing w:after="0" w:line="240" w:lineRule="auto"/>
        <w:rPr>
          <w:rFonts w:ascii="Arial" w:hAnsi="Arial" w:cs="Calibri"/>
          <w:bCs/>
          <w:kern w:val="0"/>
          <w:sz w:val="20"/>
          <w:szCs w:val="20"/>
          <w:lang w:eastAsia="ja-JP"/>
          <w14:ligatures w14:val="none"/>
        </w:rPr>
      </w:pPr>
      <w:r w:rsidRPr="00C25AAD">
        <w:rPr>
          <w:rFonts w:ascii="Arial" w:hAnsi="Arial" w:cs="Calibri"/>
          <w:bCs/>
          <w:kern w:val="0"/>
          <w:sz w:val="20"/>
          <w:szCs w:val="20"/>
          <w:lang w:eastAsia="ja-JP"/>
          <w14:ligatures w14:val="none"/>
        </w:rPr>
        <w:t>Vaccine Development Research Center, Kumamoto University</w:t>
      </w:r>
      <w:r>
        <w:rPr>
          <w:rFonts w:ascii="Arial" w:hAnsi="Arial" w:cs="Calibri" w:hint="eastAsia"/>
          <w:bCs/>
          <w:kern w:val="0"/>
          <w:sz w:val="20"/>
          <w:szCs w:val="20"/>
          <w:vertAlign w:val="superscript"/>
          <w:lang w:eastAsia="ja-JP"/>
          <w14:ligatures w14:val="none"/>
        </w:rPr>
        <w:t>2</w:t>
      </w:r>
      <w:r w:rsidRPr="00C25AAD">
        <w:rPr>
          <w:rFonts w:ascii="Arial" w:eastAsia="Calibri" w:hAnsi="Arial" w:cs="Calibri"/>
          <w:bCs/>
          <w:kern w:val="0"/>
          <w:sz w:val="20"/>
          <w:szCs w:val="20"/>
          <w14:ligatures w14:val="none"/>
        </w:rPr>
        <w:t>, Kumamoto, Japan</w:t>
      </w:r>
      <w:r>
        <w:rPr>
          <w:rFonts w:ascii="Arial" w:eastAsia="Calibri" w:hAnsi="Arial" w:cs="Calibri"/>
          <w:bCs/>
          <w:kern w:val="0"/>
          <w:sz w:val="20"/>
          <w:szCs w:val="20"/>
          <w14:ligatures w14:val="none"/>
        </w:rPr>
        <w:t>;</w:t>
      </w:r>
      <w:r>
        <w:rPr>
          <w:rFonts w:ascii="Arial" w:hAnsi="Arial" w:cs="Calibri" w:hint="eastAsia"/>
          <w:bCs/>
          <w:kern w:val="0"/>
          <w:sz w:val="20"/>
          <w:szCs w:val="20"/>
          <w:lang w:eastAsia="ja-JP"/>
          <w14:ligatures w14:val="none"/>
        </w:rPr>
        <w:t xml:space="preserve"> </w:t>
      </w:r>
    </w:p>
    <w:p w14:paraId="055A361A" w14:textId="47157043" w:rsidR="00C25AAD" w:rsidRPr="00C25AAD" w:rsidRDefault="00C25AAD" w:rsidP="4FE71DF4">
      <w:pPr>
        <w:spacing w:after="0" w:line="240" w:lineRule="auto"/>
        <w:rPr>
          <w:rFonts w:ascii="Arial" w:hAnsi="Arial" w:cs="Calibri"/>
          <w:bCs/>
          <w:kern w:val="0"/>
          <w:sz w:val="20"/>
          <w:szCs w:val="20"/>
          <w:lang w:eastAsia="ja-JP"/>
          <w14:ligatures w14:val="none"/>
        </w:rPr>
      </w:pPr>
      <w:r w:rsidRPr="00C25AAD">
        <w:rPr>
          <w:rFonts w:ascii="Arial" w:hAnsi="Arial" w:cs="Calibri"/>
          <w:bCs/>
          <w:kern w:val="0"/>
          <w:sz w:val="20"/>
          <w:szCs w:val="20"/>
          <w:lang w:eastAsia="ja-JP"/>
          <w14:ligatures w14:val="none"/>
        </w:rPr>
        <w:t>PassPort Technologies, Inc.</w:t>
      </w:r>
      <w:r>
        <w:rPr>
          <w:rFonts w:ascii="Arial" w:hAnsi="Arial" w:cs="Calibri" w:hint="eastAsia"/>
          <w:bCs/>
          <w:kern w:val="0"/>
          <w:sz w:val="20"/>
          <w:szCs w:val="20"/>
          <w:vertAlign w:val="superscript"/>
          <w:lang w:eastAsia="ja-JP"/>
          <w14:ligatures w14:val="none"/>
        </w:rPr>
        <w:t>3</w:t>
      </w:r>
      <w:r>
        <w:rPr>
          <w:rFonts w:ascii="Arial" w:hAnsi="Arial" w:cs="Calibri" w:hint="eastAsia"/>
          <w:bCs/>
          <w:kern w:val="0"/>
          <w:sz w:val="20"/>
          <w:szCs w:val="20"/>
          <w:lang w:eastAsia="ja-JP"/>
          <w14:ligatures w14:val="none"/>
        </w:rPr>
        <w:t xml:space="preserve">, </w:t>
      </w:r>
      <w:r w:rsidRPr="00C25AAD">
        <w:rPr>
          <w:rFonts w:ascii="Arial" w:hAnsi="Arial" w:cs="Calibri"/>
          <w:bCs/>
          <w:kern w:val="0"/>
          <w:sz w:val="20"/>
          <w:szCs w:val="20"/>
          <w:lang w:eastAsia="ja-JP"/>
          <w14:ligatures w14:val="none"/>
        </w:rPr>
        <w:t>San Diego, CA</w:t>
      </w:r>
      <w:r>
        <w:rPr>
          <w:rFonts w:ascii="Arial" w:hAnsi="Arial" w:cs="Calibri" w:hint="eastAsia"/>
          <w:bCs/>
          <w:kern w:val="0"/>
          <w:sz w:val="20"/>
          <w:szCs w:val="20"/>
          <w:lang w:eastAsia="ja-JP"/>
          <w14:ligatures w14:val="none"/>
        </w:rPr>
        <w:t>,</w:t>
      </w:r>
      <w:r w:rsidRPr="00C25AAD">
        <w:rPr>
          <w:rFonts w:ascii="Arial" w:hAnsi="Arial" w:cs="Calibri"/>
          <w:bCs/>
          <w:kern w:val="0"/>
          <w:sz w:val="20"/>
          <w:szCs w:val="20"/>
          <w:lang w:eastAsia="ja-JP"/>
          <w14:ligatures w14:val="none"/>
        </w:rPr>
        <w:t xml:space="preserve"> USA</w:t>
      </w:r>
      <w:r>
        <w:rPr>
          <w:rFonts w:ascii="Arial" w:eastAsia="Calibri" w:hAnsi="Arial" w:cs="Calibri"/>
          <w:bCs/>
          <w:kern w:val="0"/>
          <w:sz w:val="20"/>
          <w:szCs w:val="20"/>
          <w14:ligatures w14:val="none"/>
        </w:rPr>
        <w:t>;</w:t>
      </w:r>
      <w:r>
        <w:rPr>
          <w:rFonts w:ascii="Arial" w:hAnsi="Arial" w:cs="Calibri" w:hint="eastAsia"/>
          <w:bCs/>
          <w:kern w:val="0"/>
          <w:sz w:val="20"/>
          <w:szCs w:val="20"/>
          <w:lang w:eastAsia="ja-JP"/>
          <w14:ligatures w14:val="none"/>
        </w:rPr>
        <w:t xml:space="preserve"> </w:t>
      </w:r>
    </w:p>
    <w:p w14:paraId="47D76891" w14:textId="63F2225C" w:rsidR="00C315D2" w:rsidRPr="00C315D2" w:rsidRDefault="00C25AAD" w:rsidP="4FE71DF4">
      <w:pPr>
        <w:spacing w:after="0" w:line="240" w:lineRule="auto"/>
        <w:rPr>
          <w:rFonts w:ascii="Arial" w:eastAsia="Calibri" w:hAnsi="Arial" w:cs="Calibri"/>
          <w:bCs/>
          <w:kern w:val="0"/>
          <w:sz w:val="20"/>
          <w:szCs w:val="20"/>
          <w14:ligatures w14:val="none"/>
        </w:rPr>
      </w:pPr>
      <w:r w:rsidRPr="00C25AAD">
        <w:rPr>
          <w:rFonts w:ascii="Arial" w:eastAsia="Calibri" w:hAnsi="Arial" w:cs="Calibri"/>
          <w:bCs/>
          <w:kern w:val="0"/>
          <w:sz w:val="20"/>
          <w:szCs w:val="20"/>
          <w14:ligatures w14:val="none"/>
        </w:rPr>
        <w:t>The University of Tokyo Pandemic Preparedness, Infection and Advanced Research Center</w:t>
      </w:r>
      <w:r>
        <w:rPr>
          <w:rFonts w:ascii="Arial" w:hAnsi="Arial" w:cs="Calibri" w:hint="eastAsia"/>
          <w:bCs/>
          <w:kern w:val="0"/>
          <w:sz w:val="20"/>
          <w:szCs w:val="20"/>
          <w:vertAlign w:val="superscript"/>
          <w:lang w:eastAsia="ja-JP"/>
          <w14:ligatures w14:val="none"/>
        </w:rPr>
        <w:t>4</w:t>
      </w:r>
      <w:r>
        <w:rPr>
          <w:rFonts w:ascii="Arial" w:hAnsi="Arial" w:cs="Calibri" w:hint="eastAsia"/>
          <w:bCs/>
          <w:kern w:val="0"/>
          <w:sz w:val="20"/>
          <w:szCs w:val="20"/>
          <w:lang w:eastAsia="ja-JP"/>
          <w14:ligatures w14:val="none"/>
        </w:rPr>
        <w:t>, Tokyo, Japan.</w:t>
      </w:r>
      <w:r w:rsidR="00C315D2"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007E010E"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C2300F" w:rsidRPr="00C2300F">
        <w:rPr>
          <w:rFonts w:ascii="Arial" w:eastAsia="Calibri" w:hAnsi="Arial" w:cs="Calibri"/>
          <w:bCs/>
          <w:kern w:val="0"/>
          <w:sz w:val="20"/>
          <w:szCs w:val="20"/>
          <w14:ligatures w14:val="none"/>
        </w:rPr>
        <w:t>Vaccines are robust preventive strategy against the infection. Subcutaneous or intramuscular injections are widely used for vaccination. However, there are some concerns about vaccination, such as pain during and/or after the administration and fear of needles. A needle-free intraepidermal administration device technology is a combination of the microporation device and drug-loaded dry patches</w:t>
      </w:r>
      <w:r w:rsidR="001C0A35" w:rsidRPr="001C0A35">
        <w:rPr>
          <w:rFonts w:ascii="Arial" w:eastAsia="ＭＳ 明朝" w:hAnsi="Arial" w:cs="Arial"/>
          <w:bCs/>
          <w:kern w:val="0"/>
          <w:sz w:val="20"/>
          <w:szCs w:val="20"/>
          <w:lang w:eastAsia="ja-JP"/>
          <w14:ligatures w14:val="none"/>
        </w:rPr>
        <w:t xml:space="preserve"> (</w:t>
      </w:r>
      <w:r w:rsidR="001C0A35" w:rsidRPr="001C0A35">
        <w:rPr>
          <w:rFonts w:ascii="Arial" w:eastAsia="ＭＳ 明朝" w:hAnsi="Arial" w:cs="Arial" w:hint="eastAsia"/>
          <w:b/>
          <w:kern w:val="0"/>
          <w:sz w:val="20"/>
          <w:szCs w:val="20"/>
          <w:lang w:eastAsia="ja-JP"/>
          <w14:ligatures w14:val="none"/>
        </w:rPr>
        <w:t>Figure 1</w:t>
      </w:r>
      <w:r w:rsidR="001C0A35" w:rsidRPr="001C0A35">
        <w:rPr>
          <w:rFonts w:ascii="Arial" w:eastAsia="ＭＳ 明朝" w:hAnsi="Arial" w:cs="Arial"/>
          <w:bCs/>
          <w:kern w:val="0"/>
          <w:sz w:val="20"/>
          <w:szCs w:val="20"/>
          <w:lang w:eastAsia="ja-JP"/>
          <w14:ligatures w14:val="none"/>
        </w:rPr>
        <w:t>)</w:t>
      </w:r>
      <w:r w:rsidR="001C0A35" w:rsidRPr="001C0A35">
        <w:rPr>
          <w:rFonts w:ascii="Arial" w:hAnsi="Arial" w:cs="Calibri" w:hint="eastAsia"/>
          <w:bCs/>
          <w:kern w:val="0"/>
          <w:sz w:val="20"/>
          <w:szCs w:val="20"/>
          <w:vertAlign w:val="superscript"/>
          <w:lang w:eastAsia="ja-JP"/>
          <w14:ligatures w14:val="none"/>
        </w:rPr>
        <w:t>1,2)</w:t>
      </w:r>
      <w:r w:rsidR="00C2300F" w:rsidRPr="00C2300F">
        <w:rPr>
          <w:rFonts w:ascii="Arial" w:eastAsia="Calibri" w:hAnsi="Arial" w:cs="Calibri"/>
          <w:bCs/>
          <w:kern w:val="0"/>
          <w:sz w:val="20"/>
          <w:szCs w:val="20"/>
          <w14:ligatures w14:val="none"/>
        </w:rPr>
        <w:t>. This technology enables painless and easy administration of antigens without needles. Furthermore, the target site of this technology is the epidermis which is rich in immune cells, such as Langerhans cells. Therefore, delivering the antigens to the epidermis is expected to produce highly neutralizing antibodies. In this study, we aim to develop a novel needle-free formulation of the seasonal influenza vaccine containing three strains of antigens (A/H1N1, A/H3N2, and B/Victoria).</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58EE2702" w14:textId="747EC9E1"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2300F">
        <w:rPr>
          <w:rFonts w:ascii="Arial" w:hAnsi="Arial" w:cs="Calibri" w:hint="eastAsia"/>
          <w:b/>
          <w:bCs/>
          <w:kern w:val="0"/>
          <w:sz w:val="20"/>
          <w:szCs w:val="20"/>
          <w:lang w:eastAsia="ja-JP"/>
          <w14:ligatures w14:val="none"/>
        </w:rPr>
        <w:t xml:space="preserve"> and discussion</w:t>
      </w:r>
      <w:r w:rsidRPr="2021B9E9">
        <w:rPr>
          <w:rFonts w:ascii="Arial" w:eastAsia="Calibri" w:hAnsi="Arial" w:cs="Calibri"/>
          <w:b/>
          <w:bCs/>
          <w:kern w:val="0"/>
          <w:sz w:val="20"/>
          <w:szCs w:val="20"/>
          <w14:ligatures w14:val="none"/>
        </w:rPr>
        <w:t>.</w:t>
      </w:r>
      <w:r w:rsidR="00C315D2" w:rsidRPr="00C315D2">
        <w:rPr>
          <w:rFonts w:ascii="Calibri" w:eastAsia="Calibri" w:hAnsi="Calibri" w:cs="Times New Roman"/>
          <w:kern w:val="0"/>
          <w:lang w:val="en-GB"/>
          <w14:ligatures w14:val="none"/>
        </w:rPr>
        <w:t xml:space="preserve"> </w:t>
      </w:r>
      <w:r w:rsidR="00C2300F" w:rsidRPr="00C2300F">
        <w:rPr>
          <w:rFonts w:ascii="Arial" w:eastAsia="Calibri" w:hAnsi="Arial" w:cs="Calibri"/>
          <w:kern w:val="0"/>
          <w:sz w:val="20"/>
          <w:szCs w:val="20"/>
          <w:lang w:val="en-US"/>
          <w14:ligatures w14:val="none"/>
        </w:rPr>
        <w:t xml:space="preserve">To prepare antigen-loaded dry patches, the three strains of influenza antigens were added to the dry patches and dried them for a day. The particle sizes of the antigens in the dry patch formulation were similar to those of the original antigens. These results suggest that the dry patch preparation process had negligible effect on the physicochemical properties of the antigens. After microporation to mice skin, the dry patches containing influenza antigens were administered boost. As a result, antibody production against each antigen were observed. In addition, administration of the dry patches did not affect the blood chemistry values. Furthermore, local inflammation at the </w:t>
      </w:r>
      <w:r w:rsidR="00EE1BB2">
        <w:rPr>
          <w:rFonts w:ascii="Arial" w:hAnsi="Arial" w:cs="Calibri" w:hint="eastAsia"/>
          <w:kern w:val="0"/>
          <w:sz w:val="20"/>
          <w:szCs w:val="20"/>
          <w:lang w:val="en-US" w:eastAsia="ja-JP"/>
          <w14:ligatures w14:val="none"/>
        </w:rPr>
        <w:t xml:space="preserve">microporation site </w:t>
      </w:r>
      <w:r w:rsidR="00C2300F" w:rsidRPr="00C2300F">
        <w:rPr>
          <w:rFonts w:ascii="Arial" w:eastAsia="Calibri" w:hAnsi="Arial" w:cs="Calibri"/>
          <w:kern w:val="0"/>
          <w:sz w:val="20"/>
          <w:szCs w:val="20"/>
          <w:lang w:val="en-US"/>
          <w14:ligatures w14:val="none"/>
        </w:rPr>
        <w:t xml:space="preserve">was </w:t>
      </w:r>
      <w:r w:rsidR="00EE1BB2">
        <w:rPr>
          <w:rFonts w:ascii="Arial" w:hAnsi="Arial" w:cs="Calibri" w:hint="eastAsia"/>
          <w:kern w:val="0"/>
          <w:sz w:val="20"/>
          <w:szCs w:val="20"/>
          <w:lang w:val="en-US" w:eastAsia="ja-JP"/>
          <w14:ligatures w14:val="none"/>
        </w:rPr>
        <w:t>not observed after 24 h, suggesting the high safety of the device</w:t>
      </w:r>
      <w:r w:rsidR="00C2300F" w:rsidRPr="00C2300F">
        <w:rPr>
          <w:rFonts w:ascii="Arial" w:eastAsia="Calibri" w:hAnsi="Arial" w:cs="Calibri"/>
          <w:kern w:val="0"/>
          <w:sz w:val="20"/>
          <w:szCs w:val="20"/>
          <w:lang w:val="en-US"/>
          <w14:ligatures w14:val="none"/>
        </w:rPr>
        <w:t xml:space="preserve">. </w:t>
      </w:r>
    </w:p>
    <w:p w14:paraId="777A9E0F" w14:textId="14247D1A" w:rsidR="2021B9E9" w:rsidRDefault="2021B9E9" w:rsidP="2021B9E9">
      <w:pPr>
        <w:spacing w:after="0" w:line="240" w:lineRule="auto"/>
        <w:jc w:val="both"/>
        <w:rPr>
          <w:rFonts w:ascii="Arial" w:eastAsia="Calibri" w:hAnsi="Arial" w:cs="Calibri"/>
          <w:sz w:val="20"/>
          <w:szCs w:val="20"/>
          <w:lang w:val="en-US"/>
        </w:rPr>
      </w:pPr>
    </w:p>
    <w:p w14:paraId="46771D03" w14:textId="77777777" w:rsidR="00C2300F" w:rsidRDefault="00C2300F" w:rsidP="00C315D2">
      <w:pPr>
        <w:spacing w:after="0" w:line="240" w:lineRule="auto"/>
        <w:jc w:val="both"/>
        <w:rPr>
          <w:rFonts w:ascii="Arial" w:hAnsi="Arial" w:cs="Calibri"/>
          <w:b/>
          <w:kern w:val="0"/>
          <w:sz w:val="20"/>
          <w:szCs w:val="20"/>
          <w:lang w:eastAsia="ja-JP"/>
          <w14:ligatures w14:val="none"/>
        </w:rPr>
      </w:pPr>
    </w:p>
    <w:p w14:paraId="4DDD2CE9" w14:textId="216ED510" w:rsidR="00C2300F" w:rsidRDefault="00C2300F" w:rsidP="00C2300F">
      <w:pPr>
        <w:spacing w:after="0" w:line="240" w:lineRule="auto"/>
        <w:jc w:val="center"/>
        <w:rPr>
          <w:rFonts w:ascii="Arial" w:hAnsi="Arial" w:cs="Calibri"/>
          <w:b/>
          <w:kern w:val="0"/>
          <w:sz w:val="20"/>
          <w:szCs w:val="20"/>
          <w:lang w:eastAsia="ja-JP"/>
          <w14:ligatures w14:val="none"/>
        </w:rPr>
      </w:pPr>
      <w:r>
        <w:rPr>
          <w:rFonts w:ascii="Arial" w:hAnsi="Arial" w:cs="Calibri"/>
          <w:b/>
          <w:noProof/>
          <w:kern w:val="0"/>
          <w:sz w:val="20"/>
          <w:szCs w:val="20"/>
          <w:lang w:eastAsia="ja-JP"/>
          <w14:ligatures w14:val="none"/>
        </w:rPr>
        <w:drawing>
          <wp:inline distT="0" distB="0" distL="0" distR="0" wp14:anchorId="7520480A" wp14:editId="5F46CBF3">
            <wp:extent cx="5715770" cy="1884459"/>
            <wp:effectExtent l="0" t="0" r="0" b="1905"/>
            <wp:docPr id="14182666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1683" cy="1899596"/>
                    </a:xfrm>
                    <a:prstGeom prst="rect">
                      <a:avLst/>
                    </a:prstGeom>
                    <a:noFill/>
                    <a:ln>
                      <a:noFill/>
                    </a:ln>
                  </pic:spPr>
                </pic:pic>
              </a:graphicData>
            </a:graphic>
          </wp:inline>
        </w:drawing>
      </w:r>
    </w:p>
    <w:p w14:paraId="533F2083" w14:textId="77777777" w:rsidR="00C2300F" w:rsidRPr="00C2300F" w:rsidRDefault="00C2300F" w:rsidP="00C315D2">
      <w:pPr>
        <w:spacing w:after="0" w:line="240" w:lineRule="auto"/>
        <w:jc w:val="both"/>
        <w:rPr>
          <w:rFonts w:ascii="Arial" w:hAnsi="Arial" w:cs="Calibri"/>
          <w:b/>
          <w:kern w:val="0"/>
          <w:sz w:val="20"/>
          <w:szCs w:val="20"/>
          <w:lang w:eastAsia="ja-JP"/>
          <w14:ligatures w14:val="none"/>
        </w:rPr>
      </w:pPr>
    </w:p>
    <w:p w14:paraId="44719324" w14:textId="4AD9FC80" w:rsidR="00C315D2" w:rsidRPr="00936D4C" w:rsidRDefault="00C315D2" w:rsidP="00C2300F">
      <w:pPr>
        <w:spacing w:after="0" w:line="240" w:lineRule="auto"/>
        <w:jc w:val="center"/>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lang w:val="en-GB"/>
          <w14:ligatures w14:val="none"/>
        </w:rPr>
        <w:t>Figure 1.</w:t>
      </w:r>
      <w:r w:rsidRPr="00C2300F">
        <w:rPr>
          <w:rFonts w:ascii="Arial" w:eastAsia="Calibri" w:hAnsi="Arial" w:cs="Calibri"/>
          <w:b/>
          <w:bCs/>
          <w:kern w:val="0"/>
          <w:sz w:val="20"/>
          <w:szCs w:val="20"/>
          <w:lang w:val="en-GB"/>
          <w14:ligatures w14:val="none"/>
        </w:rPr>
        <w:t xml:space="preserve"> </w:t>
      </w:r>
      <w:r w:rsidR="00C2300F" w:rsidRPr="00C2300F">
        <w:rPr>
          <w:rFonts w:ascii="Arial" w:eastAsia="Calibri" w:hAnsi="Arial" w:cs="Calibri"/>
          <w:b/>
          <w:bCs/>
          <w:kern w:val="0"/>
          <w:sz w:val="20"/>
          <w:szCs w:val="20"/>
          <w:lang w:val="en-GB"/>
          <w14:ligatures w14:val="none"/>
        </w:rPr>
        <w:t>Intraepidermal Delivery Device (</w:t>
      </w:r>
      <w:proofErr w:type="spellStart"/>
      <w:r w:rsidR="00C2300F" w:rsidRPr="00C2300F">
        <w:rPr>
          <w:rFonts w:ascii="Arial" w:eastAsia="Calibri" w:hAnsi="Arial" w:cs="Calibri"/>
          <w:b/>
          <w:bCs/>
          <w:kern w:val="0"/>
          <w:sz w:val="20"/>
          <w:szCs w:val="20"/>
          <w:lang w:val="en-GB"/>
          <w14:ligatures w14:val="none"/>
        </w:rPr>
        <w:t>PassPort</w:t>
      </w:r>
      <w:r w:rsidR="00C2300F" w:rsidRPr="00C2300F">
        <w:rPr>
          <w:rFonts w:ascii="Arial" w:eastAsia="Calibri" w:hAnsi="Arial" w:cs="Calibri"/>
          <w:b/>
          <w:bCs/>
          <w:kern w:val="0"/>
          <w:sz w:val="20"/>
          <w:szCs w:val="20"/>
          <w:vertAlign w:val="superscript"/>
          <w:lang w:val="en-GB"/>
          <w14:ligatures w14:val="none"/>
        </w:rPr>
        <w:t>TM</w:t>
      </w:r>
      <w:proofErr w:type="spellEnd"/>
      <w:r w:rsidR="00C2300F" w:rsidRPr="00C2300F">
        <w:rPr>
          <w:rFonts w:ascii="Arial" w:eastAsia="Calibri" w:hAnsi="Arial" w:cs="Calibri"/>
          <w:b/>
          <w:bCs/>
          <w:kern w:val="0"/>
          <w:sz w:val="20"/>
          <w:szCs w:val="20"/>
          <w:lang w:val="en-GB"/>
          <w14:ligatures w14:val="none"/>
        </w:rPr>
        <w:t>)</w:t>
      </w:r>
      <w:r w:rsidRPr="00C2300F">
        <w:rPr>
          <w:rFonts w:ascii="Arial" w:eastAsia="Calibri" w:hAnsi="Arial" w:cs="Calibri"/>
          <w:b/>
          <w:bCs/>
          <w:kern w:val="0"/>
          <w:sz w:val="20"/>
          <w:szCs w:val="20"/>
          <w:lang w:val="en-GB"/>
          <w14:ligatures w14:val="none"/>
        </w:rPr>
        <w:t>.</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2A47F6C9"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C2300F">
        <w:rPr>
          <w:rFonts w:ascii="Arial" w:hAnsi="Arial" w:cs="Calibri" w:hint="eastAsia"/>
          <w:kern w:val="0"/>
          <w:sz w:val="20"/>
          <w:szCs w:val="20"/>
          <w:lang w:val="en-US" w:eastAsia="ja-JP"/>
          <w14:ligatures w14:val="none"/>
        </w:rPr>
        <w:t xml:space="preserve">This </w:t>
      </w:r>
      <w:r w:rsidR="00C2300F" w:rsidRPr="00C2300F">
        <w:rPr>
          <w:rFonts w:ascii="Arial" w:hAnsi="Arial" w:cs="Calibri"/>
          <w:kern w:val="0"/>
          <w:sz w:val="20"/>
          <w:szCs w:val="20"/>
          <w:lang w:val="en-US" w:eastAsia="ja-JP"/>
          <w14:ligatures w14:val="none"/>
        </w:rPr>
        <w:t xml:space="preserve">Intraepidermal Delivery </w:t>
      </w:r>
      <w:r w:rsidR="00C2300F" w:rsidRPr="00C2300F">
        <w:rPr>
          <w:rFonts w:ascii="Arial" w:eastAsia="Calibri" w:hAnsi="Arial" w:cs="Calibri"/>
          <w:kern w:val="0"/>
          <w:sz w:val="20"/>
          <w:szCs w:val="20"/>
          <w:lang w:val="en-US"/>
          <w14:ligatures w14:val="none"/>
        </w:rPr>
        <w:t xml:space="preserve">technology </w:t>
      </w:r>
      <w:r w:rsidR="00C2300F">
        <w:rPr>
          <w:rFonts w:ascii="Arial" w:hAnsi="Arial" w:cs="Calibri" w:hint="eastAsia"/>
          <w:kern w:val="0"/>
          <w:sz w:val="20"/>
          <w:szCs w:val="20"/>
          <w:lang w:val="en-US" w:eastAsia="ja-JP"/>
          <w14:ligatures w14:val="none"/>
        </w:rPr>
        <w:t>(</w:t>
      </w:r>
      <w:proofErr w:type="spellStart"/>
      <w:r w:rsidR="00C2300F" w:rsidRPr="00C2300F">
        <w:rPr>
          <w:rFonts w:ascii="Arial" w:hAnsi="Arial" w:cs="Calibri"/>
          <w:kern w:val="0"/>
          <w:sz w:val="20"/>
          <w:szCs w:val="20"/>
          <w:lang w:val="en-US" w:eastAsia="ja-JP"/>
          <w14:ligatures w14:val="none"/>
        </w:rPr>
        <w:t>PassPort</w:t>
      </w:r>
      <w:r w:rsidR="00C2300F" w:rsidRPr="00C2300F">
        <w:rPr>
          <w:rFonts w:ascii="Arial" w:hAnsi="Arial" w:cs="Calibri"/>
          <w:kern w:val="0"/>
          <w:sz w:val="20"/>
          <w:szCs w:val="20"/>
          <w:vertAlign w:val="superscript"/>
          <w:lang w:val="en-US" w:eastAsia="ja-JP"/>
          <w14:ligatures w14:val="none"/>
        </w:rPr>
        <w:t>TM</w:t>
      </w:r>
      <w:proofErr w:type="spellEnd"/>
      <w:r w:rsidR="00C2300F">
        <w:rPr>
          <w:rFonts w:ascii="Arial" w:hAnsi="Arial" w:cs="Calibri" w:hint="eastAsia"/>
          <w:kern w:val="0"/>
          <w:sz w:val="20"/>
          <w:szCs w:val="20"/>
          <w:lang w:val="en-US" w:eastAsia="ja-JP"/>
          <w14:ligatures w14:val="none"/>
        </w:rPr>
        <w:t xml:space="preserve">) </w:t>
      </w:r>
      <w:r w:rsidR="00C2300F" w:rsidRPr="00C2300F">
        <w:rPr>
          <w:rFonts w:ascii="Arial" w:eastAsia="Calibri" w:hAnsi="Arial" w:cs="Calibri"/>
          <w:kern w:val="0"/>
          <w:sz w:val="20"/>
          <w:szCs w:val="20"/>
          <w:lang w:val="en-US"/>
          <w14:ligatures w14:val="none"/>
        </w:rPr>
        <w:t xml:space="preserve">has the potential as a novel </w:t>
      </w:r>
      <w:r w:rsidR="00C2300F">
        <w:rPr>
          <w:rFonts w:ascii="Arial" w:hAnsi="Arial" w:cs="Calibri" w:hint="eastAsia"/>
          <w:kern w:val="0"/>
          <w:sz w:val="20"/>
          <w:szCs w:val="20"/>
          <w:lang w:val="en-US" w:eastAsia="ja-JP"/>
          <w14:ligatures w14:val="none"/>
        </w:rPr>
        <w:t xml:space="preserve">device to administer of </w:t>
      </w:r>
      <w:r w:rsidR="00C2300F" w:rsidRPr="00C2300F">
        <w:rPr>
          <w:rFonts w:ascii="Arial" w:eastAsia="Calibri" w:hAnsi="Arial" w:cs="Calibri"/>
          <w:kern w:val="0"/>
          <w:sz w:val="20"/>
          <w:szCs w:val="20"/>
          <w:lang w:val="en-US"/>
          <w14:ligatures w14:val="none"/>
        </w:rPr>
        <w:t>seasonal influenza vaccine</w:t>
      </w:r>
      <w:r w:rsidR="00C2300F">
        <w:rPr>
          <w:rFonts w:ascii="Arial" w:hAnsi="Arial" w:cs="Calibri" w:hint="eastAsia"/>
          <w:kern w:val="0"/>
          <w:sz w:val="20"/>
          <w:szCs w:val="20"/>
          <w:lang w:val="en-US" w:eastAsia="ja-JP"/>
          <w14:ligatures w14:val="none"/>
        </w:rPr>
        <w:t xml:space="preserve"> by dry patch</w:t>
      </w:r>
      <w:r w:rsidR="00C2300F" w:rsidRPr="00C2300F">
        <w:rPr>
          <w:rFonts w:ascii="Arial" w:eastAsia="Calibri" w:hAnsi="Arial" w:cs="Calibri"/>
          <w:kern w:val="0"/>
          <w:sz w:val="20"/>
          <w:szCs w:val="20"/>
          <w:lang w:val="en-US"/>
          <w14:ligatures w14:val="none"/>
        </w:rPr>
        <w:t xml:space="preserve">. </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7DF092C6" w14:textId="704FDE5C" w:rsidR="00733CC9" w:rsidRDefault="00C315D2" w:rsidP="00733CC9">
      <w:pPr>
        <w:spacing w:after="0" w:line="240" w:lineRule="auto"/>
        <w:jc w:val="both"/>
        <w:rPr>
          <w:rFonts w:ascii="Arial" w:hAnsi="Arial" w:cs="Calibri"/>
          <w:bCs/>
          <w:kern w:val="0"/>
          <w:sz w:val="20"/>
          <w:szCs w:val="20"/>
          <w:lang w:val="en-US" w:eastAsia="ja-JP"/>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2BF76D47" w14:textId="5575571C" w:rsidR="00733CC9" w:rsidRDefault="00733CC9" w:rsidP="00733CC9">
      <w:pPr>
        <w:pStyle w:val="a9"/>
        <w:numPr>
          <w:ilvl w:val="0"/>
          <w:numId w:val="2"/>
        </w:numPr>
        <w:spacing w:after="0" w:line="240" w:lineRule="auto"/>
        <w:jc w:val="both"/>
        <w:rPr>
          <w:rFonts w:ascii="Arial" w:hAnsi="Arial" w:cs="Calibri"/>
          <w:bCs/>
          <w:kern w:val="0"/>
          <w:sz w:val="20"/>
          <w:szCs w:val="20"/>
          <w:lang w:val="en-US" w:eastAsia="ja-JP"/>
          <w14:ligatures w14:val="none"/>
        </w:rPr>
      </w:pPr>
      <w:r w:rsidRPr="00733CC9">
        <w:rPr>
          <w:rFonts w:ascii="Arial" w:eastAsia="Calibri" w:hAnsi="Arial" w:cs="Calibri"/>
          <w:bCs/>
          <w:kern w:val="0"/>
          <w:sz w:val="20"/>
          <w:szCs w:val="20"/>
          <w:lang w:val="en-US"/>
          <w14:ligatures w14:val="none"/>
        </w:rPr>
        <w:t>O</w:t>
      </w:r>
      <w:r>
        <w:rPr>
          <w:rFonts w:ascii="Arial" w:hAnsi="Arial" w:cs="Calibri" w:hint="eastAsia"/>
          <w:bCs/>
          <w:kern w:val="0"/>
          <w:sz w:val="20"/>
          <w:szCs w:val="20"/>
          <w:lang w:val="en-US" w:eastAsia="ja-JP"/>
          <w14:ligatures w14:val="none"/>
        </w:rPr>
        <w:t xml:space="preserve">. </w:t>
      </w:r>
      <w:r w:rsidRPr="00733CC9">
        <w:rPr>
          <w:rFonts w:ascii="Arial" w:eastAsia="Calibri" w:hAnsi="Arial" w:cs="Calibri"/>
          <w:bCs/>
          <w:kern w:val="0"/>
          <w:sz w:val="20"/>
          <w:szCs w:val="20"/>
          <w:lang w:val="en-US"/>
          <w14:ligatures w14:val="none"/>
        </w:rPr>
        <w:t>Naoto</w:t>
      </w:r>
      <w:r>
        <w:rPr>
          <w:rFonts w:ascii="Arial" w:hAnsi="Arial" w:cs="Calibri" w:hint="eastAsia"/>
          <w:bCs/>
          <w:kern w:val="0"/>
          <w:sz w:val="20"/>
          <w:szCs w:val="20"/>
          <w:lang w:val="en-US" w:eastAsia="ja-JP"/>
          <w14:ligatures w14:val="none"/>
        </w:rPr>
        <w:t>,</w:t>
      </w:r>
      <w:r w:rsidRPr="00733CC9">
        <w:rPr>
          <w:rFonts w:ascii="Arial" w:eastAsia="Calibri" w:hAnsi="Arial" w:cs="Calibri"/>
          <w:bCs/>
          <w:kern w:val="0"/>
          <w:sz w:val="20"/>
          <w:szCs w:val="20"/>
          <w:lang w:val="en-US"/>
          <w14:ligatures w14:val="none"/>
        </w:rPr>
        <w:t xml:space="preserve"> </w:t>
      </w:r>
      <w:r w:rsidRPr="00733CC9">
        <w:rPr>
          <w:rFonts w:ascii="Arial" w:hAnsi="Arial" w:cs="Calibri" w:hint="eastAsia"/>
          <w:bCs/>
          <w:i/>
          <w:iCs/>
          <w:kern w:val="0"/>
          <w:sz w:val="20"/>
          <w:szCs w:val="20"/>
          <w:lang w:val="en-US" w:eastAsia="ja-JP"/>
          <w14:ligatures w14:val="none"/>
        </w:rPr>
        <w:t>et al</w:t>
      </w:r>
      <w:r>
        <w:rPr>
          <w:rFonts w:ascii="Arial" w:hAnsi="Arial" w:cs="Calibri" w:hint="eastAsia"/>
          <w:bCs/>
          <w:kern w:val="0"/>
          <w:sz w:val="20"/>
          <w:szCs w:val="20"/>
          <w:lang w:val="en-US" w:eastAsia="ja-JP"/>
          <w14:ligatures w14:val="none"/>
        </w:rPr>
        <w:t xml:space="preserve">. </w:t>
      </w:r>
      <w:r w:rsidRPr="00733CC9">
        <w:rPr>
          <w:rFonts w:ascii="Arial" w:hAnsi="Arial" w:cs="Calibri"/>
          <w:b/>
          <w:i/>
          <w:iCs/>
          <w:kern w:val="0"/>
          <w:sz w:val="20"/>
          <w:szCs w:val="20"/>
          <w:lang w:val="en-US" w:eastAsia="ja-JP"/>
          <w14:ligatures w14:val="none"/>
        </w:rPr>
        <w:t>Eur</w:t>
      </w:r>
      <w:r w:rsidRPr="00733CC9">
        <w:rPr>
          <w:rFonts w:ascii="Arial" w:hAnsi="Arial" w:cs="Calibri" w:hint="eastAsia"/>
          <w:b/>
          <w:i/>
          <w:iCs/>
          <w:kern w:val="0"/>
          <w:sz w:val="20"/>
          <w:szCs w:val="20"/>
          <w:lang w:val="en-US" w:eastAsia="ja-JP"/>
          <w14:ligatures w14:val="none"/>
        </w:rPr>
        <w:t>.</w:t>
      </w:r>
      <w:r w:rsidRPr="00733CC9">
        <w:rPr>
          <w:rFonts w:ascii="Arial" w:hAnsi="Arial" w:cs="Calibri"/>
          <w:b/>
          <w:i/>
          <w:iCs/>
          <w:kern w:val="0"/>
          <w:sz w:val="20"/>
          <w:szCs w:val="20"/>
          <w:lang w:val="en-US" w:eastAsia="ja-JP"/>
          <w14:ligatures w14:val="none"/>
        </w:rPr>
        <w:t xml:space="preserve"> J</w:t>
      </w:r>
      <w:r w:rsidRPr="00733CC9">
        <w:rPr>
          <w:rFonts w:ascii="Arial" w:hAnsi="Arial" w:cs="Calibri" w:hint="eastAsia"/>
          <w:b/>
          <w:i/>
          <w:iCs/>
          <w:kern w:val="0"/>
          <w:sz w:val="20"/>
          <w:szCs w:val="20"/>
          <w:lang w:val="en-US" w:eastAsia="ja-JP"/>
          <w14:ligatures w14:val="none"/>
        </w:rPr>
        <w:t xml:space="preserve">. </w:t>
      </w:r>
      <w:r w:rsidRPr="00733CC9">
        <w:rPr>
          <w:rFonts w:ascii="Arial" w:hAnsi="Arial" w:cs="Calibri"/>
          <w:b/>
          <w:i/>
          <w:iCs/>
          <w:kern w:val="0"/>
          <w:sz w:val="20"/>
          <w:szCs w:val="20"/>
          <w:lang w:val="en-US" w:eastAsia="ja-JP"/>
          <w14:ligatures w14:val="none"/>
        </w:rPr>
        <w:t>Pharm</w:t>
      </w:r>
      <w:r w:rsidRPr="00733CC9">
        <w:rPr>
          <w:rFonts w:ascii="Arial" w:hAnsi="Arial" w:cs="Calibri" w:hint="eastAsia"/>
          <w:b/>
          <w:i/>
          <w:iCs/>
          <w:kern w:val="0"/>
          <w:sz w:val="20"/>
          <w:szCs w:val="20"/>
          <w:lang w:val="en-US" w:eastAsia="ja-JP"/>
          <w14:ligatures w14:val="none"/>
        </w:rPr>
        <w:t xml:space="preserve">. </w:t>
      </w:r>
      <w:r w:rsidRPr="00733CC9">
        <w:rPr>
          <w:rFonts w:ascii="Arial" w:hAnsi="Arial" w:cs="Calibri"/>
          <w:b/>
          <w:i/>
          <w:iCs/>
          <w:kern w:val="0"/>
          <w:sz w:val="20"/>
          <w:szCs w:val="20"/>
          <w:lang w:val="en-US" w:eastAsia="ja-JP"/>
          <w14:ligatures w14:val="none"/>
        </w:rPr>
        <w:t>Sci</w:t>
      </w:r>
      <w:r w:rsidRPr="00733CC9">
        <w:rPr>
          <w:rFonts w:ascii="Arial" w:hAnsi="Arial" w:cs="Calibri" w:hint="eastAsia"/>
          <w:b/>
          <w:i/>
          <w:iCs/>
          <w:kern w:val="0"/>
          <w:sz w:val="20"/>
          <w:szCs w:val="20"/>
          <w:lang w:val="en-US" w:eastAsia="ja-JP"/>
          <w14:ligatures w14:val="none"/>
        </w:rPr>
        <w:t>.</w:t>
      </w:r>
      <w:r>
        <w:rPr>
          <w:rFonts w:ascii="Arial" w:hAnsi="Arial" w:cs="Calibri" w:hint="eastAsia"/>
          <w:bCs/>
          <w:kern w:val="0"/>
          <w:sz w:val="20"/>
          <w:szCs w:val="20"/>
          <w:lang w:val="en-US" w:eastAsia="ja-JP"/>
          <w14:ligatures w14:val="none"/>
        </w:rPr>
        <w:t xml:space="preserve">, </w:t>
      </w:r>
      <w:r w:rsidRPr="00733CC9">
        <w:rPr>
          <w:rFonts w:ascii="Arial" w:hAnsi="Arial" w:cs="Calibri"/>
          <w:bCs/>
          <w:kern w:val="0"/>
          <w:sz w:val="20"/>
          <w:szCs w:val="20"/>
          <w:lang w:val="en-US" w:eastAsia="ja-JP"/>
          <w14:ligatures w14:val="none"/>
        </w:rPr>
        <w:t>170</w:t>
      </w:r>
      <w:r>
        <w:rPr>
          <w:rFonts w:ascii="Arial" w:hAnsi="Arial" w:cs="Calibri" w:hint="eastAsia"/>
          <w:bCs/>
          <w:kern w:val="0"/>
          <w:sz w:val="20"/>
          <w:szCs w:val="20"/>
          <w:lang w:val="en-US" w:eastAsia="ja-JP"/>
          <w14:ligatures w14:val="none"/>
        </w:rPr>
        <w:t xml:space="preserve">, </w:t>
      </w:r>
      <w:r w:rsidRPr="00733CC9">
        <w:rPr>
          <w:rFonts w:ascii="Arial" w:hAnsi="Arial" w:cs="Calibri"/>
          <w:bCs/>
          <w:kern w:val="0"/>
          <w:sz w:val="20"/>
          <w:szCs w:val="20"/>
          <w:lang w:val="en-US" w:eastAsia="ja-JP"/>
          <w14:ligatures w14:val="none"/>
        </w:rPr>
        <w:t>106096</w:t>
      </w:r>
      <w:r w:rsidRPr="00733CC9">
        <w:rPr>
          <w:rFonts w:ascii="Arial" w:hAnsi="Arial" w:cs="Calibri" w:hint="eastAsia"/>
          <w:bCs/>
          <w:kern w:val="0"/>
          <w:sz w:val="20"/>
          <w:szCs w:val="20"/>
          <w:lang w:val="en-US" w:eastAsia="ja-JP"/>
          <w14:ligatures w14:val="none"/>
        </w:rPr>
        <w:t xml:space="preserve"> </w:t>
      </w:r>
      <w:r>
        <w:rPr>
          <w:rFonts w:ascii="Arial" w:hAnsi="Arial" w:cs="Calibri" w:hint="eastAsia"/>
          <w:bCs/>
          <w:kern w:val="0"/>
          <w:sz w:val="20"/>
          <w:szCs w:val="20"/>
          <w:lang w:val="en-US" w:eastAsia="ja-JP"/>
          <w14:ligatures w14:val="none"/>
        </w:rPr>
        <w:t>(2022).</w:t>
      </w:r>
    </w:p>
    <w:p w14:paraId="2697BACE" w14:textId="74927094" w:rsidR="00733CC9" w:rsidRPr="00733CC9" w:rsidRDefault="00733CC9" w:rsidP="00733CC9">
      <w:pPr>
        <w:pStyle w:val="a9"/>
        <w:numPr>
          <w:ilvl w:val="0"/>
          <w:numId w:val="2"/>
        </w:numPr>
        <w:spacing w:after="0" w:line="240" w:lineRule="auto"/>
        <w:jc w:val="both"/>
        <w:rPr>
          <w:rFonts w:ascii="Arial" w:hAnsi="Arial" w:cs="Calibri"/>
          <w:bCs/>
          <w:kern w:val="0"/>
          <w:sz w:val="20"/>
          <w:szCs w:val="20"/>
          <w:lang w:val="en-US" w:eastAsia="ja-JP"/>
          <w14:ligatures w14:val="none"/>
        </w:rPr>
      </w:pPr>
      <w:r w:rsidRPr="00733CC9">
        <w:rPr>
          <w:rFonts w:ascii="Arial" w:hAnsi="Arial" w:cs="Calibri"/>
          <w:bCs/>
          <w:kern w:val="0"/>
          <w:sz w:val="20"/>
          <w:szCs w:val="20"/>
          <w:lang w:val="en-US" w:eastAsia="ja-JP"/>
          <w14:ligatures w14:val="none"/>
        </w:rPr>
        <w:t>J</w:t>
      </w:r>
      <w:r w:rsidRPr="00733CC9">
        <w:rPr>
          <w:rFonts w:ascii="Arial" w:hAnsi="Arial" w:cs="Calibri" w:hint="eastAsia"/>
          <w:bCs/>
          <w:kern w:val="0"/>
          <w:sz w:val="20"/>
          <w:szCs w:val="20"/>
          <w:lang w:val="en-US" w:eastAsia="ja-JP"/>
          <w14:ligatures w14:val="none"/>
        </w:rPr>
        <w:t>.</w:t>
      </w:r>
      <w:r w:rsidRPr="00733CC9">
        <w:rPr>
          <w:rFonts w:ascii="Arial" w:hAnsi="Arial" w:cs="Calibri"/>
          <w:bCs/>
          <w:kern w:val="0"/>
          <w:sz w:val="20"/>
          <w:szCs w:val="20"/>
          <w:lang w:val="en-US" w:eastAsia="ja-JP"/>
          <w14:ligatures w14:val="none"/>
        </w:rPr>
        <w:t xml:space="preserve"> Bramson</w:t>
      </w:r>
      <w:r w:rsidRPr="00733CC9">
        <w:rPr>
          <w:rFonts w:ascii="Arial" w:hAnsi="Arial" w:cs="Calibri" w:hint="eastAsia"/>
          <w:bCs/>
          <w:kern w:val="0"/>
          <w:sz w:val="20"/>
          <w:szCs w:val="20"/>
          <w:lang w:val="en-US" w:eastAsia="ja-JP"/>
          <w14:ligatures w14:val="none"/>
        </w:rPr>
        <w:t xml:space="preserve">, </w:t>
      </w:r>
      <w:r w:rsidRPr="001C0A35">
        <w:rPr>
          <w:rFonts w:ascii="Arial" w:hAnsi="Arial" w:cs="Calibri" w:hint="eastAsia"/>
          <w:bCs/>
          <w:i/>
          <w:iCs/>
          <w:kern w:val="0"/>
          <w:sz w:val="20"/>
          <w:szCs w:val="20"/>
          <w:lang w:val="en-US" w:eastAsia="ja-JP"/>
          <w14:ligatures w14:val="none"/>
        </w:rPr>
        <w:t>et al.</w:t>
      </w:r>
      <w:r w:rsidRPr="00733CC9">
        <w:rPr>
          <w:rFonts w:ascii="Arial" w:hAnsi="Arial" w:cs="Calibri" w:hint="eastAsia"/>
          <w:bCs/>
          <w:kern w:val="0"/>
          <w:sz w:val="20"/>
          <w:szCs w:val="20"/>
          <w:lang w:val="en-US" w:eastAsia="ja-JP"/>
          <w14:ligatures w14:val="none"/>
        </w:rPr>
        <w:t xml:space="preserve">, </w:t>
      </w:r>
      <w:r w:rsidRPr="001C0A35">
        <w:rPr>
          <w:rFonts w:ascii="Arial" w:hAnsi="Arial" w:cs="Calibri"/>
          <w:b/>
          <w:i/>
          <w:iCs/>
          <w:kern w:val="0"/>
          <w:sz w:val="20"/>
          <w:szCs w:val="20"/>
          <w:lang w:val="en-US" w:eastAsia="ja-JP"/>
          <w14:ligatures w14:val="none"/>
        </w:rPr>
        <w:t>Gene Ther</w:t>
      </w:r>
      <w:r w:rsidRPr="001C0A35">
        <w:rPr>
          <w:rFonts w:ascii="Arial" w:hAnsi="Arial" w:cs="Calibri" w:hint="eastAsia"/>
          <w:b/>
          <w:i/>
          <w:iCs/>
          <w:kern w:val="0"/>
          <w:sz w:val="20"/>
          <w:szCs w:val="20"/>
          <w:lang w:val="en-US" w:eastAsia="ja-JP"/>
          <w14:ligatures w14:val="none"/>
        </w:rPr>
        <w:t>.</w:t>
      </w:r>
      <w:r w:rsidRPr="00733CC9">
        <w:rPr>
          <w:rFonts w:ascii="Arial" w:hAnsi="Arial" w:cs="Calibri" w:hint="eastAsia"/>
          <w:bCs/>
          <w:kern w:val="0"/>
          <w:sz w:val="20"/>
          <w:szCs w:val="20"/>
          <w:lang w:val="en-US" w:eastAsia="ja-JP"/>
          <w14:ligatures w14:val="none"/>
        </w:rPr>
        <w:t>,</w:t>
      </w:r>
      <w:r w:rsidRPr="00733CC9">
        <w:rPr>
          <w:rFonts w:ascii="Arial" w:hAnsi="Arial" w:cs="Calibri"/>
          <w:bCs/>
          <w:kern w:val="0"/>
          <w:sz w:val="20"/>
          <w:szCs w:val="20"/>
          <w:lang w:val="en-US" w:eastAsia="ja-JP"/>
          <w14:ligatures w14:val="none"/>
        </w:rPr>
        <w:t xml:space="preserve"> 10, 251–260</w:t>
      </w:r>
      <w:r w:rsidRPr="00733CC9">
        <w:rPr>
          <w:rFonts w:ascii="Arial" w:hAnsi="Arial" w:cs="Calibri" w:hint="eastAsia"/>
          <w:bCs/>
          <w:kern w:val="0"/>
          <w:sz w:val="20"/>
          <w:szCs w:val="20"/>
          <w:lang w:val="en-US" w:eastAsia="ja-JP"/>
          <w14:ligatures w14:val="none"/>
        </w:rPr>
        <w:t xml:space="preserve"> </w:t>
      </w:r>
      <w:r w:rsidRPr="00733CC9">
        <w:rPr>
          <w:rFonts w:ascii="Arial" w:hAnsi="Arial" w:cs="Calibri"/>
          <w:bCs/>
          <w:kern w:val="0"/>
          <w:sz w:val="20"/>
          <w:szCs w:val="20"/>
          <w:lang w:val="en-US" w:eastAsia="ja-JP"/>
          <w14:ligatures w14:val="none"/>
        </w:rPr>
        <w:t>(2003)</w:t>
      </w:r>
      <w:r w:rsidR="001C0A35">
        <w:rPr>
          <w:rFonts w:ascii="Arial" w:hAnsi="Arial" w:cs="Calibri" w:hint="eastAsia"/>
          <w:bCs/>
          <w:kern w:val="0"/>
          <w:sz w:val="20"/>
          <w:szCs w:val="20"/>
          <w:lang w:val="en-US" w:eastAsia="ja-JP"/>
          <w14:ligatures w14:val="none"/>
        </w:rPr>
        <w:t>.</w:t>
      </w:r>
    </w:p>
    <w:p w14:paraId="6F03F530" w14:textId="77777777" w:rsidR="00733CC9" w:rsidRPr="00733CC9" w:rsidRDefault="00733CC9" w:rsidP="00733CC9">
      <w:pPr>
        <w:spacing w:after="0" w:line="240" w:lineRule="auto"/>
        <w:jc w:val="both"/>
        <w:rPr>
          <w:rFonts w:ascii="Arial" w:hAnsi="Arial" w:cs="Calibri"/>
          <w:bCs/>
          <w:kern w:val="0"/>
          <w:sz w:val="20"/>
          <w:szCs w:val="20"/>
          <w:lang w:val="en-US" w:eastAsia="ja-JP"/>
          <w14:ligatures w14:val="none"/>
        </w:rPr>
      </w:pPr>
    </w:p>
    <w:sectPr w:rsidR="00733CC9" w:rsidRPr="00733C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56CC5" w14:textId="77777777" w:rsidR="007E0F25" w:rsidRDefault="007E0F25" w:rsidP="00C25AAD">
      <w:pPr>
        <w:spacing w:after="0" w:line="240" w:lineRule="auto"/>
      </w:pPr>
      <w:r>
        <w:separator/>
      </w:r>
    </w:p>
  </w:endnote>
  <w:endnote w:type="continuationSeparator" w:id="0">
    <w:p w14:paraId="2D5751DF" w14:textId="77777777" w:rsidR="007E0F25" w:rsidRDefault="007E0F25" w:rsidP="00C2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C6AA" w14:textId="77777777" w:rsidR="007E0F25" w:rsidRDefault="007E0F25" w:rsidP="00C25AAD">
      <w:pPr>
        <w:spacing w:after="0" w:line="240" w:lineRule="auto"/>
      </w:pPr>
      <w:r>
        <w:separator/>
      </w:r>
    </w:p>
  </w:footnote>
  <w:footnote w:type="continuationSeparator" w:id="0">
    <w:p w14:paraId="5AB86FE9" w14:textId="77777777" w:rsidR="007E0F25" w:rsidRDefault="007E0F25" w:rsidP="00C25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0CBA"/>
    <w:multiLevelType w:val="hybridMultilevel"/>
    <w:tmpl w:val="13DA1842"/>
    <w:lvl w:ilvl="0" w:tplc="C2221DF2">
      <w:start w:val="1"/>
      <w:numFmt w:val="decimal"/>
      <w:lvlText w:val="(%1)"/>
      <w:lvlJc w:val="left"/>
      <w:pPr>
        <w:ind w:left="360" w:hanging="360"/>
      </w:pPr>
      <w:rPr>
        <w:rFonts w:eastAsia="Calibr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98693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110D9"/>
    <w:rsid w:val="00032765"/>
    <w:rsid w:val="00107368"/>
    <w:rsid w:val="00113BB7"/>
    <w:rsid w:val="001C0A35"/>
    <w:rsid w:val="002017E6"/>
    <w:rsid w:val="00294059"/>
    <w:rsid w:val="003206E4"/>
    <w:rsid w:val="003A6D5C"/>
    <w:rsid w:val="004A51B6"/>
    <w:rsid w:val="00510CF8"/>
    <w:rsid w:val="00575A29"/>
    <w:rsid w:val="00601754"/>
    <w:rsid w:val="006A34BE"/>
    <w:rsid w:val="006F3F1C"/>
    <w:rsid w:val="007141F2"/>
    <w:rsid w:val="00733CC9"/>
    <w:rsid w:val="007561D8"/>
    <w:rsid w:val="00795378"/>
    <w:rsid w:val="00796206"/>
    <w:rsid w:val="007C367E"/>
    <w:rsid w:val="007E0F25"/>
    <w:rsid w:val="008071C5"/>
    <w:rsid w:val="00906D34"/>
    <w:rsid w:val="00933DC9"/>
    <w:rsid w:val="00936D4C"/>
    <w:rsid w:val="009523F9"/>
    <w:rsid w:val="009650DF"/>
    <w:rsid w:val="009B1CBB"/>
    <w:rsid w:val="00A0516D"/>
    <w:rsid w:val="00B4721D"/>
    <w:rsid w:val="00B8473A"/>
    <w:rsid w:val="00BD5F35"/>
    <w:rsid w:val="00C21815"/>
    <w:rsid w:val="00C2300F"/>
    <w:rsid w:val="00C25AAD"/>
    <w:rsid w:val="00C315D2"/>
    <w:rsid w:val="00C353D8"/>
    <w:rsid w:val="00CF5A91"/>
    <w:rsid w:val="00D02BB1"/>
    <w:rsid w:val="00D45A74"/>
    <w:rsid w:val="00D7428F"/>
    <w:rsid w:val="00EC3746"/>
    <w:rsid w:val="00EE1BB2"/>
    <w:rsid w:val="00F539FB"/>
    <w:rsid w:val="00F85528"/>
    <w:rsid w:val="00FF73F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315D2"/>
    <w:rPr>
      <w:rFonts w:eastAsiaTheme="majorEastAsia" w:cstheme="majorBidi"/>
      <w:i/>
      <w:iCs/>
      <w:color w:val="0F4761" w:themeColor="accent1" w:themeShade="BF"/>
    </w:rPr>
  </w:style>
  <w:style w:type="character" w:customStyle="1" w:styleId="50">
    <w:name w:val="見出し 5 (文字)"/>
    <w:basedOn w:val="a0"/>
    <w:link w:val="5"/>
    <w:uiPriority w:val="9"/>
    <w:semiHidden/>
    <w:rsid w:val="00C315D2"/>
    <w:rPr>
      <w:rFonts w:eastAsiaTheme="majorEastAsia" w:cstheme="majorBidi"/>
      <w:color w:val="0F4761" w:themeColor="accent1" w:themeShade="BF"/>
    </w:rPr>
  </w:style>
  <w:style w:type="character" w:customStyle="1" w:styleId="60">
    <w:name w:val="見出し 6 (文字)"/>
    <w:basedOn w:val="a0"/>
    <w:link w:val="6"/>
    <w:uiPriority w:val="9"/>
    <w:semiHidden/>
    <w:rsid w:val="00C315D2"/>
    <w:rPr>
      <w:rFonts w:eastAsiaTheme="majorEastAsia" w:cstheme="majorBidi"/>
      <w:i/>
      <w:iCs/>
      <w:color w:val="595959" w:themeColor="text1" w:themeTint="A6"/>
    </w:rPr>
  </w:style>
  <w:style w:type="character" w:customStyle="1" w:styleId="70">
    <w:name w:val="見出し 7 (文字)"/>
    <w:basedOn w:val="a0"/>
    <w:link w:val="7"/>
    <w:uiPriority w:val="9"/>
    <w:semiHidden/>
    <w:rsid w:val="00C315D2"/>
    <w:rPr>
      <w:rFonts w:eastAsiaTheme="majorEastAsia" w:cstheme="majorBidi"/>
      <w:color w:val="595959" w:themeColor="text1" w:themeTint="A6"/>
    </w:rPr>
  </w:style>
  <w:style w:type="character" w:customStyle="1" w:styleId="80">
    <w:name w:val="見出し 8 (文字)"/>
    <w:basedOn w:val="a0"/>
    <w:link w:val="8"/>
    <w:uiPriority w:val="9"/>
    <w:semiHidden/>
    <w:rsid w:val="00C315D2"/>
    <w:rPr>
      <w:rFonts w:eastAsiaTheme="majorEastAsia" w:cstheme="majorBidi"/>
      <w:i/>
      <w:iCs/>
      <w:color w:val="272727" w:themeColor="text1" w:themeTint="D8"/>
    </w:rPr>
  </w:style>
  <w:style w:type="character" w:customStyle="1" w:styleId="90">
    <w:name w:val="見出し 9 (文字)"/>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用文 (文字)"/>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21">
    <w:name w:val="Intense Emphasis"/>
    <w:basedOn w:val="a0"/>
    <w:uiPriority w:val="21"/>
    <w:qFormat/>
    <w:rsid w:val="00C315D2"/>
    <w:rPr>
      <w:i/>
      <w:iCs/>
      <w:color w:val="0F4761" w:themeColor="accent1" w:themeShade="BF"/>
    </w:rPr>
  </w:style>
  <w:style w:type="paragraph" w:styleId="22">
    <w:name w:val="Intense Quote"/>
    <w:basedOn w:val="a"/>
    <w:next w:val="a"/>
    <w:link w:val="23"/>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5D2"/>
    <w:rPr>
      <w:i/>
      <w:iCs/>
      <w:color w:val="0F4761" w:themeColor="accent1" w:themeShade="BF"/>
    </w:rPr>
  </w:style>
  <w:style w:type="character" w:styleId="24">
    <w:name w:val="Intense Reference"/>
    <w:basedOn w:val="a0"/>
    <w:uiPriority w:val="32"/>
    <w:qFormat/>
    <w:rsid w:val="00C315D2"/>
    <w:rPr>
      <w:b/>
      <w:bCs/>
      <w:smallCaps/>
      <w:color w:val="0F4761" w:themeColor="accent1" w:themeShade="BF"/>
      <w:spacing w:val="5"/>
    </w:rPr>
  </w:style>
  <w:style w:type="paragraph" w:styleId="aa">
    <w:name w:val="header"/>
    <w:basedOn w:val="a"/>
    <w:link w:val="ab"/>
    <w:uiPriority w:val="99"/>
    <w:unhideWhenUsed/>
    <w:rsid w:val="00C25AAD"/>
    <w:pPr>
      <w:tabs>
        <w:tab w:val="center" w:pos="4252"/>
        <w:tab w:val="right" w:pos="8504"/>
      </w:tabs>
      <w:snapToGrid w:val="0"/>
    </w:pPr>
  </w:style>
  <w:style w:type="character" w:customStyle="1" w:styleId="ab">
    <w:name w:val="ヘッダー (文字)"/>
    <w:basedOn w:val="a0"/>
    <w:link w:val="aa"/>
    <w:uiPriority w:val="99"/>
    <w:rsid w:val="00C25AAD"/>
  </w:style>
  <w:style w:type="paragraph" w:styleId="ac">
    <w:name w:val="footer"/>
    <w:basedOn w:val="a"/>
    <w:link w:val="ad"/>
    <w:uiPriority w:val="99"/>
    <w:unhideWhenUsed/>
    <w:rsid w:val="00C25AAD"/>
    <w:pPr>
      <w:tabs>
        <w:tab w:val="center" w:pos="4252"/>
        <w:tab w:val="right" w:pos="8504"/>
      </w:tabs>
      <w:snapToGrid w:val="0"/>
    </w:pPr>
  </w:style>
  <w:style w:type="character" w:customStyle="1" w:styleId="ad">
    <w:name w:val="フッター (文字)"/>
    <w:basedOn w:val="a0"/>
    <w:link w:val="ac"/>
    <w:uiPriority w:val="99"/>
    <w:rsid w:val="00C2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Keiichi Motoyama</cp:lastModifiedBy>
  <cp:revision>5</cp:revision>
  <cp:lastPrinted>2025-05-16T06:55:00Z</cp:lastPrinted>
  <dcterms:created xsi:type="dcterms:W3CDTF">2025-03-11T02:17:00Z</dcterms:created>
  <dcterms:modified xsi:type="dcterms:W3CDTF">2025-05-19T04:58:00Z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