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85F37" w14:textId="77777777" w:rsidR="00200F85" w:rsidRPr="00200F85" w:rsidRDefault="00200F85" w:rsidP="000A6653">
      <w:pPr>
        <w:spacing w:after="0" w:line="240" w:lineRule="auto"/>
        <w:jc w:val="both"/>
        <w:rPr>
          <w:rFonts w:ascii="Arial" w:eastAsia="Calibri" w:hAnsi="Arial" w:cs="Calibri"/>
          <w:b/>
          <w:bCs/>
          <w:kern w:val="0"/>
          <w:lang w:val="en-US"/>
          <w14:ligatures w14:val="none"/>
        </w:rPr>
      </w:pPr>
      <w:r w:rsidRPr="00200F85">
        <w:rPr>
          <w:rFonts w:ascii="Arial" w:eastAsia="Calibri" w:hAnsi="Arial" w:cs="Calibri"/>
          <w:b/>
          <w:bCs/>
          <w:kern w:val="0"/>
          <w:lang w:val="en-US"/>
          <w14:ligatures w14:val="none"/>
        </w:rPr>
        <w:t>Dissolving Microneedles Containing Solubilized Econazole Nitrate for Enhanced Transdermal Delivery</w:t>
      </w:r>
    </w:p>
    <w:p w14:paraId="15E01D02" w14:textId="77777777" w:rsidR="000E3F8D" w:rsidRPr="00200F85" w:rsidRDefault="000E3F8D" w:rsidP="000A6653">
      <w:pPr>
        <w:spacing w:after="0" w:line="240" w:lineRule="auto"/>
        <w:rPr>
          <w:rFonts w:ascii="Arial" w:eastAsia="맑은 고딕" w:hAnsi="Arial" w:cs="Calibri"/>
          <w:b/>
          <w:bCs/>
          <w:kern w:val="0"/>
          <w:sz w:val="20"/>
          <w:szCs w:val="20"/>
          <w:u w:val="single"/>
          <w:lang w:val="en-US" w:eastAsia="ko-KR"/>
          <w14:ligatures w14:val="none"/>
        </w:rPr>
      </w:pPr>
    </w:p>
    <w:p w14:paraId="457AC439" w14:textId="0D62799C" w:rsidR="00420204" w:rsidRPr="000A6653" w:rsidRDefault="00420204" w:rsidP="000A6653">
      <w:pPr>
        <w:spacing w:after="0" w:line="240" w:lineRule="auto"/>
        <w:rPr>
          <w:rFonts w:ascii="Arial" w:eastAsia="맑은 고딕" w:hAnsi="Arial" w:cs="Arial"/>
          <w:kern w:val="0"/>
          <w:sz w:val="20"/>
          <w:szCs w:val="20"/>
          <w:lang w:eastAsia="ko-KR"/>
          <w14:ligatures w14:val="none"/>
        </w:rPr>
      </w:pPr>
      <w:r w:rsidRPr="000A6653">
        <w:rPr>
          <w:rFonts w:ascii="Arial" w:eastAsia="Calibri" w:hAnsi="Arial" w:cs="Arial"/>
          <w:b/>
          <w:bCs/>
          <w:kern w:val="0"/>
          <w:sz w:val="20"/>
          <w:szCs w:val="20"/>
          <w:u w:val="single"/>
          <w14:ligatures w14:val="none"/>
        </w:rPr>
        <w:t>Ju Yeon Park</w:t>
      </w:r>
      <w:r w:rsidRPr="000A6653">
        <w:rPr>
          <w:rFonts w:ascii="Arial" w:eastAsia="Calibri" w:hAnsi="Arial" w:cs="Arial"/>
          <w:b/>
          <w:bCs/>
          <w:kern w:val="0"/>
          <w:sz w:val="20"/>
          <w:szCs w:val="20"/>
          <w:u w:val="single"/>
          <w:vertAlign w:val="superscript"/>
          <w14:ligatures w14:val="none"/>
        </w:rPr>
        <w:t>1</w:t>
      </w:r>
      <w:r w:rsidRPr="000A6653">
        <w:rPr>
          <w:rFonts w:ascii="Arial" w:eastAsia="Calibri" w:hAnsi="Arial" w:cs="Arial"/>
          <w:kern w:val="0"/>
          <w:sz w:val="20"/>
          <w:szCs w:val="20"/>
          <w14:ligatures w14:val="none"/>
        </w:rPr>
        <w:t>,</w:t>
      </w:r>
      <w:r w:rsidRPr="000A6653">
        <w:rPr>
          <w:rFonts w:ascii="Arial" w:eastAsia="맑은 고딕" w:hAnsi="Arial" w:cs="Arial"/>
          <w:kern w:val="0"/>
          <w:sz w:val="20"/>
          <w:szCs w:val="20"/>
          <w:lang w:eastAsia="ko-KR"/>
          <w14:ligatures w14:val="none"/>
        </w:rPr>
        <w:t xml:space="preserve"> </w:t>
      </w:r>
      <w:r w:rsidR="000E3F8D" w:rsidRPr="000A6653">
        <w:rPr>
          <w:rFonts w:ascii="Arial" w:eastAsia="Calibri" w:hAnsi="Arial" w:cs="Arial"/>
          <w:kern w:val="0"/>
          <w:sz w:val="20"/>
          <w:szCs w:val="20"/>
          <w14:ligatures w14:val="none"/>
        </w:rPr>
        <w:t>Young Soo Woo</w:t>
      </w:r>
      <w:r w:rsidR="000E3F8D" w:rsidRPr="000A6653">
        <w:rPr>
          <w:rFonts w:ascii="Arial" w:eastAsia="Calibri" w:hAnsi="Arial" w:cs="Arial"/>
          <w:kern w:val="0"/>
          <w:sz w:val="20"/>
          <w:szCs w:val="20"/>
          <w:vertAlign w:val="superscript"/>
          <w14:ligatures w14:val="none"/>
        </w:rPr>
        <w:t>1</w:t>
      </w:r>
      <w:r w:rsidR="000E3F8D" w:rsidRPr="000A6653">
        <w:rPr>
          <w:rFonts w:ascii="Arial" w:eastAsia="Calibri" w:hAnsi="Arial" w:cs="Arial"/>
          <w:kern w:val="0"/>
          <w:sz w:val="20"/>
          <w:szCs w:val="20"/>
          <w14:ligatures w14:val="none"/>
        </w:rPr>
        <w:t>, Seung Yeob Baeg</w:t>
      </w:r>
      <w:r w:rsidR="000E3F8D" w:rsidRPr="000A6653">
        <w:rPr>
          <w:rFonts w:ascii="Arial" w:eastAsia="Calibri" w:hAnsi="Arial" w:cs="Arial"/>
          <w:kern w:val="0"/>
          <w:sz w:val="20"/>
          <w:szCs w:val="20"/>
          <w:vertAlign w:val="superscript"/>
          <w14:ligatures w14:val="none"/>
        </w:rPr>
        <w:t>1</w:t>
      </w:r>
      <w:r w:rsidR="000E3F8D" w:rsidRPr="000A6653">
        <w:rPr>
          <w:rFonts w:ascii="Arial" w:eastAsia="Calibri" w:hAnsi="Arial" w:cs="Arial"/>
          <w:kern w:val="0"/>
          <w:sz w:val="20"/>
          <w:szCs w:val="20"/>
          <w14:ligatures w14:val="none"/>
        </w:rPr>
        <w:t>, Hyun Jong Park</w:t>
      </w:r>
      <w:r w:rsidR="000E3F8D" w:rsidRPr="000A6653">
        <w:rPr>
          <w:rFonts w:ascii="Arial" w:eastAsia="Calibri" w:hAnsi="Arial" w:cs="Arial"/>
          <w:kern w:val="0"/>
          <w:sz w:val="20"/>
          <w:szCs w:val="20"/>
          <w:vertAlign w:val="superscript"/>
          <w14:ligatures w14:val="none"/>
        </w:rPr>
        <w:t>1</w:t>
      </w:r>
      <w:r w:rsidR="000E3F8D" w:rsidRPr="000A6653">
        <w:rPr>
          <w:rFonts w:ascii="Arial" w:eastAsia="Calibri" w:hAnsi="Arial" w:cs="Arial"/>
          <w:kern w:val="0"/>
          <w:sz w:val="20"/>
          <w:szCs w:val="20"/>
          <w14:ligatures w14:val="none"/>
        </w:rPr>
        <w:t>, Dong Wuk Kim</w:t>
      </w:r>
      <w:r w:rsidR="000E3F8D" w:rsidRPr="000A6653">
        <w:rPr>
          <w:rFonts w:ascii="Arial" w:eastAsia="Calibri" w:hAnsi="Arial" w:cs="Arial"/>
          <w:kern w:val="0"/>
          <w:sz w:val="20"/>
          <w:szCs w:val="20"/>
          <w:vertAlign w:val="superscript"/>
          <w14:ligatures w14:val="none"/>
        </w:rPr>
        <w:t>1</w:t>
      </w:r>
    </w:p>
    <w:p w14:paraId="11C694E1" w14:textId="77777777" w:rsidR="00420204" w:rsidRPr="000A6653" w:rsidRDefault="00420204" w:rsidP="000A6653">
      <w:pPr>
        <w:spacing w:after="0" w:line="240" w:lineRule="auto"/>
        <w:rPr>
          <w:rFonts w:ascii="Arial" w:eastAsia="Calibri" w:hAnsi="Arial" w:cs="Arial"/>
          <w:kern w:val="0"/>
          <w:sz w:val="20"/>
          <w:szCs w:val="20"/>
          <w14:ligatures w14:val="none"/>
        </w:rPr>
      </w:pPr>
      <w:r w:rsidRPr="000A6653">
        <w:rPr>
          <w:rFonts w:ascii="Arial" w:eastAsia="Calibri" w:hAnsi="Arial" w:cs="Arial"/>
          <w:kern w:val="0"/>
          <w:sz w:val="20"/>
          <w:szCs w:val="20"/>
          <w:vertAlign w:val="superscript"/>
          <w14:ligatures w14:val="none"/>
        </w:rPr>
        <w:t>1</w:t>
      </w:r>
      <w:r w:rsidRPr="000A6653">
        <w:rPr>
          <w:rFonts w:ascii="Arial" w:eastAsia="Calibri" w:hAnsi="Arial" w:cs="Arial"/>
          <w:kern w:val="0"/>
          <w:sz w:val="20"/>
          <w:szCs w:val="20"/>
          <w14:ligatures w14:val="none"/>
        </w:rPr>
        <w:t>College of Pharmacy and Research Institute of Pharmaceutical Sciences, Kyungpook National University, Daegu 41566, Republic of Korea</w:t>
      </w:r>
    </w:p>
    <w:p w14:paraId="4381101E" w14:textId="77777777" w:rsidR="00200F85" w:rsidRPr="000A6653" w:rsidRDefault="00200F85" w:rsidP="000A6653">
      <w:pPr>
        <w:spacing w:after="0" w:line="240" w:lineRule="auto"/>
        <w:rPr>
          <w:rFonts w:ascii="Arial" w:eastAsia="맑은 고딕" w:hAnsi="Arial" w:cs="Arial"/>
          <w:bCs/>
          <w:kern w:val="0"/>
          <w:sz w:val="20"/>
          <w:szCs w:val="20"/>
          <w:lang w:val="en-US" w:eastAsia="ko-KR"/>
          <w14:ligatures w14:val="none"/>
        </w:rPr>
      </w:pPr>
    </w:p>
    <w:p w14:paraId="339CF234" w14:textId="5C018062" w:rsidR="00E4257A" w:rsidRPr="00E4257A" w:rsidRDefault="003672FF" w:rsidP="000A6653">
      <w:pPr>
        <w:spacing w:after="0" w:line="240" w:lineRule="auto"/>
        <w:jc w:val="both"/>
        <w:rPr>
          <w:rFonts w:ascii="Arial" w:eastAsia="맑은 고딕" w:hAnsi="Arial" w:cs="Arial"/>
          <w:bCs/>
          <w:kern w:val="0"/>
          <w:sz w:val="20"/>
          <w:szCs w:val="20"/>
          <w:lang w:val="en-US" w:eastAsia="ko-KR"/>
          <w14:ligatures w14:val="none"/>
        </w:rPr>
      </w:pPr>
      <w:r w:rsidRPr="000A6653">
        <w:rPr>
          <w:rFonts w:ascii="Arial" w:eastAsia="Calibri" w:hAnsi="Arial" w:cs="Arial"/>
          <w:b/>
          <w:kern w:val="0"/>
          <w:sz w:val="20"/>
          <w:szCs w:val="20"/>
          <w14:ligatures w14:val="none"/>
        </w:rPr>
        <w:t>Background and aims.</w:t>
      </w:r>
      <w:r w:rsidRPr="000A6653">
        <w:rPr>
          <w:rFonts w:ascii="Arial" w:eastAsia="Calibri" w:hAnsi="Arial" w:cs="Arial"/>
          <w:bCs/>
          <w:kern w:val="0"/>
          <w:sz w:val="20"/>
          <w:szCs w:val="20"/>
          <w14:ligatures w14:val="none"/>
        </w:rPr>
        <w:t xml:space="preserve"> </w:t>
      </w:r>
      <w:r w:rsidR="00E4257A" w:rsidRPr="00E4257A">
        <w:rPr>
          <w:rFonts w:ascii="Arial" w:eastAsia="맑은 고딕" w:hAnsi="Arial" w:cs="Arial"/>
          <w:bCs/>
          <w:kern w:val="0"/>
          <w:sz w:val="20"/>
          <w:szCs w:val="20"/>
          <w:lang w:val="en-US" w:eastAsia="ko-KR"/>
          <w14:ligatures w14:val="none"/>
        </w:rPr>
        <w:t>This study aimed to develop a dissolving microneedle (DMN) system incorporating solubilized econazole nitrate to address the drug’s low aqueous solubility and the limitations associated with conventional topical formulations such as creams and ointments. The ultimate goal was to enhance transdermal drug delivery efficiency using a minimally invasive platform.</w:t>
      </w:r>
    </w:p>
    <w:p w14:paraId="2EC1F5F9" w14:textId="77777777" w:rsidR="00420204" w:rsidRPr="000A6653" w:rsidRDefault="00420204" w:rsidP="000A6653">
      <w:pPr>
        <w:spacing w:after="0" w:line="240" w:lineRule="auto"/>
        <w:jc w:val="both"/>
        <w:rPr>
          <w:rFonts w:ascii="Arial" w:eastAsia="맑은 고딕" w:hAnsi="Arial" w:cs="Arial"/>
          <w:b/>
          <w:kern w:val="0"/>
          <w:sz w:val="20"/>
          <w:szCs w:val="20"/>
          <w:lang w:eastAsia="ko-KR"/>
          <w14:ligatures w14:val="none"/>
        </w:rPr>
      </w:pPr>
    </w:p>
    <w:p w14:paraId="3310E3CC" w14:textId="3DC0EE43" w:rsidR="00E4257A" w:rsidRPr="00E4257A" w:rsidRDefault="00C315D2" w:rsidP="000A6653">
      <w:pPr>
        <w:spacing w:after="0" w:line="240" w:lineRule="auto"/>
        <w:jc w:val="both"/>
        <w:rPr>
          <w:rFonts w:ascii="Arial" w:eastAsia="맑은 고딕" w:hAnsi="Arial" w:cs="Arial"/>
          <w:bCs/>
          <w:kern w:val="0"/>
          <w:sz w:val="20"/>
          <w:szCs w:val="20"/>
          <w:lang w:val="en-US" w:eastAsia="ko-KR"/>
          <w14:ligatures w14:val="none"/>
        </w:rPr>
      </w:pPr>
      <w:r w:rsidRPr="000A6653">
        <w:rPr>
          <w:rFonts w:ascii="Arial" w:eastAsia="Calibri" w:hAnsi="Arial" w:cs="Arial"/>
          <w:b/>
          <w:kern w:val="0"/>
          <w:sz w:val="20"/>
          <w:szCs w:val="20"/>
          <w:lang w:eastAsia="ko-KR"/>
          <w14:ligatures w14:val="none"/>
        </w:rPr>
        <w:t>Methods.</w:t>
      </w:r>
      <w:r w:rsidR="00BA0758" w:rsidRPr="000A6653">
        <w:rPr>
          <w:rFonts w:ascii="Arial" w:eastAsia="맑은 고딕" w:hAnsi="Arial" w:cs="Arial"/>
          <w:b/>
          <w:kern w:val="0"/>
          <w:sz w:val="20"/>
          <w:szCs w:val="20"/>
          <w:lang w:eastAsia="ko-KR"/>
          <w14:ligatures w14:val="none"/>
        </w:rPr>
        <w:t xml:space="preserve"> </w:t>
      </w:r>
      <w:r w:rsidR="00E4257A" w:rsidRPr="00E4257A">
        <w:rPr>
          <w:rFonts w:ascii="Arial" w:eastAsia="맑은 고딕" w:hAnsi="Arial" w:cs="Arial"/>
          <w:bCs/>
          <w:kern w:val="0"/>
          <w:sz w:val="20"/>
          <w:szCs w:val="20"/>
          <w:lang w:val="en-US" w:eastAsia="ko-KR"/>
          <w14:ligatures w14:val="none"/>
        </w:rPr>
        <w:t>The solubility-enhancing effects of various pharmaceutical polymers on econazole nitrate were evaluated through preliminary screening. Among the candidates, hydroxypropyl-β-cyclodextrin (HP-β-CD) demonstrated the highest solubilizing capacity and was selected as the key solubilizer. The DMN formulation was prepared by combining HP-β-CD with the biocompatible polymer polyvinylpyrrolidone K30 (PVP K30). The fabricated microneedles were subjected to morphological assessment, physicochemical characterization, drug content analysis, and in vitro drug release testing.</w:t>
      </w:r>
    </w:p>
    <w:p w14:paraId="1387B9C3" w14:textId="77777777" w:rsidR="00C315D2" w:rsidRPr="000A6653" w:rsidRDefault="00C315D2" w:rsidP="000A6653">
      <w:pPr>
        <w:spacing w:after="0" w:line="240" w:lineRule="auto"/>
        <w:jc w:val="both"/>
        <w:rPr>
          <w:rFonts w:ascii="Arial" w:eastAsia="Calibri" w:hAnsi="Arial" w:cs="Arial"/>
          <w:b/>
          <w:bCs/>
          <w:kern w:val="0"/>
          <w:sz w:val="20"/>
          <w:szCs w:val="20"/>
          <w:lang w:val="en-GB" w:eastAsia="ko-KR"/>
          <w14:ligatures w14:val="none"/>
        </w:rPr>
      </w:pPr>
    </w:p>
    <w:p w14:paraId="48DF224A" w14:textId="00F04B5E" w:rsidR="00E4257A" w:rsidRPr="00E4257A" w:rsidRDefault="00795378" w:rsidP="000A6653">
      <w:pPr>
        <w:spacing w:after="0" w:line="240" w:lineRule="auto"/>
        <w:jc w:val="both"/>
        <w:rPr>
          <w:rFonts w:ascii="Arial" w:eastAsia="맑은 고딕" w:hAnsi="Arial" w:cs="Arial"/>
          <w:kern w:val="0"/>
          <w:sz w:val="20"/>
          <w:szCs w:val="20"/>
          <w:lang w:val="en-US" w:eastAsia="ko-KR"/>
          <w14:ligatures w14:val="none"/>
        </w:rPr>
      </w:pPr>
      <w:r w:rsidRPr="000A6653">
        <w:rPr>
          <w:rFonts w:ascii="Arial" w:eastAsia="Calibri" w:hAnsi="Arial" w:cs="Arial"/>
          <w:b/>
          <w:bCs/>
          <w:kern w:val="0"/>
          <w:sz w:val="20"/>
          <w:szCs w:val="20"/>
          <w14:ligatures w14:val="none"/>
        </w:rPr>
        <w:t>Results.</w:t>
      </w:r>
      <w:r w:rsidR="00C315D2" w:rsidRPr="000A6653">
        <w:rPr>
          <w:rFonts w:ascii="Arial" w:eastAsia="Calibri" w:hAnsi="Arial" w:cs="Arial"/>
          <w:kern w:val="0"/>
          <w:sz w:val="20"/>
          <w:szCs w:val="20"/>
          <w:lang w:val="en-GB"/>
          <w14:ligatures w14:val="none"/>
        </w:rPr>
        <w:t xml:space="preserve"> </w:t>
      </w:r>
      <w:r w:rsidR="00E4257A" w:rsidRPr="00E4257A">
        <w:rPr>
          <w:rFonts w:ascii="Arial" w:eastAsia="맑은 고딕" w:hAnsi="Arial" w:cs="Arial"/>
          <w:kern w:val="0"/>
          <w:sz w:val="20"/>
          <w:szCs w:val="20"/>
          <w:lang w:val="en-US" w:eastAsia="ko-KR"/>
          <w14:ligatures w14:val="none"/>
        </w:rPr>
        <w:t>Solubility screening revealed that HP-β-CD significantly enhanced the aqueous solubility of econazole nitrate, followed by PVP-VA64 and PVP K30. Specifically, 20% (w/v) HP-β-CD increased solubility to approximately 10,233.06 µg/mL—representing a 9.5-fold improvement over solubility in distilled water (1,069.9 µg/mL) (Fig</w:t>
      </w:r>
      <w:r w:rsidR="00E4257A" w:rsidRPr="000A6653">
        <w:rPr>
          <w:rFonts w:ascii="Arial" w:eastAsia="맑은 고딕" w:hAnsi="Arial" w:cs="Arial"/>
          <w:kern w:val="0"/>
          <w:sz w:val="20"/>
          <w:szCs w:val="20"/>
          <w:lang w:val="en-US" w:eastAsia="ko-KR"/>
          <w14:ligatures w14:val="none"/>
        </w:rPr>
        <w:t>.</w:t>
      </w:r>
      <w:r w:rsidR="00E4257A" w:rsidRPr="00E4257A">
        <w:rPr>
          <w:rFonts w:ascii="Arial" w:eastAsia="맑은 고딕" w:hAnsi="Arial" w:cs="Arial"/>
          <w:kern w:val="0"/>
          <w:sz w:val="20"/>
          <w:szCs w:val="20"/>
          <w:lang w:val="en-US" w:eastAsia="ko-KR"/>
          <w14:ligatures w14:val="none"/>
        </w:rPr>
        <w:t xml:space="preserve"> 1). Stereomicroscopic analysis of the microneedle arrays fabricated with HP-β-CD and PVP K30 confirmed a uniform, cone-shaped structure with an average needle length of 696 µm (Fig</w:t>
      </w:r>
      <w:r w:rsidR="00E4257A" w:rsidRPr="000A6653">
        <w:rPr>
          <w:rFonts w:ascii="Arial" w:eastAsia="맑은 고딕" w:hAnsi="Arial" w:cs="Arial"/>
          <w:kern w:val="0"/>
          <w:sz w:val="20"/>
          <w:szCs w:val="20"/>
          <w:lang w:val="en-US" w:eastAsia="ko-KR"/>
          <w14:ligatures w14:val="none"/>
        </w:rPr>
        <w:t>.</w:t>
      </w:r>
      <w:r w:rsidR="00E4257A" w:rsidRPr="00E4257A">
        <w:rPr>
          <w:rFonts w:ascii="Arial" w:eastAsia="맑은 고딕" w:hAnsi="Arial" w:cs="Arial"/>
          <w:kern w:val="0"/>
          <w:sz w:val="20"/>
          <w:szCs w:val="20"/>
          <w:lang w:val="en-US" w:eastAsia="ko-KR"/>
          <w14:ligatures w14:val="none"/>
        </w:rPr>
        <w:t xml:space="preserve"> 2). These characteristics indicate sufficient mechanical integrity and effective potential for stratum corneum penetration, enabling efficient transdermal delivery of the solubilized drug. As the study is ongoing, additional data will be presented in the full conference poster.</w:t>
      </w:r>
    </w:p>
    <w:p w14:paraId="15EB0532" w14:textId="793E7898" w:rsidR="00C315D2" w:rsidRPr="000A6653" w:rsidRDefault="000E7096" w:rsidP="000A6653">
      <w:pPr>
        <w:spacing w:after="0" w:line="240" w:lineRule="auto"/>
        <w:jc w:val="both"/>
        <w:rPr>
          <w:rFonts w:ascii="Arial" w:eastAsia="Calibri" w:hAnsi="Arial" w:cs="Arial"/>
          <w:b/>
          <w:kern w:val="0"/>
          <w:sz w:val="20"/>
          <w:szCs w:val="20"/>
          <w14:ligatures w14:val="none"/>
        </w:rPr>
      </w:pPr>
      <w:r w:rsidRPr="000A6653">
        <w:rPr>
          <w:rFonts w:ascii="Arial" w:eastAsia="Calibri" w:hAnsi="Arial" w:cs="Arial"/>
          <w:b/>
          <w:noProof/>
          <w:kern w:val="0"/>
          <w:sz w:val="20"/>
          <w:szCs w:val="20"/>
        </w:rPr>
        <w:drawing>
          <wp:inline distT="0" distB="0" distL="0" distR="0" wp14:anchorId="533803D1" wp14:editId="48A4CF33">
            <wp:extent cx="2908935" cy="2225040"/>
            <wp:effectExtent l="0" t="0" r="5715" b="3810"/>
            <wp:docPr id="126524443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44434" name="그림 12652444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8935" cy="2225040"/>
                    </a:xfrm>
                    <a:prstGeom prst="rect">
                      <a:avLst/>
                    </a:prstGeom>
                  </pic:spPr>
                </pic:pic>
              </a:graphicData>
            </a:graphic>
          </wp:inline>
        </w:drawing>
      </w:r>
      <w:r w:rsidRPr="000A6653">
        <w:rPr>
          <w:rFonts w:ascii="Arial" w:hAnsi="Arial" w:cs="Arial"/>
          <w:noProof/>
          <w:sz w:val="20"/>
          <w:szCs w:val="20"/>
        </w:rPr>
        <w:t xml:space="preserve"> </w:t>
      </w:r>
      <w:r w:rsidRPr="000A6653">
        <w:rPr>
          <w:rFonts w:ascii="Arial" w:eastAsia="Calibri" w:hAnsi="Arial" w:cs="Arial"/>
          <w:b/>
          <w:noProof/>
          <w:kern w:val="0"/>
          <w:sz w:val="20"/>
          <w:szCs w:val="20"/>
          <w14:ligatures w14:val="none"/>
        </w:rPr>
        <w:drawing>
          <wp:inline distT="0" distB="0" distL="0" distR="0" wp14:anchorId="23A866BC" wp14:editId="2A11FF60">
            <wp:extent cx="2733385" cy="1729740"/>
            <wp:effectExtent l="0" t="0" r="0" b="3810"/>
            <wp:docPr id="9" name="그림 8">
              <a:extLst xmlns:a="http://schemas.openxmlformats.org/drawingml/2006/main">
                <a:ext uri="{FF2B5EF4-FFF2-40B4-BE49-F238E27FC236}">
                  <a16:creationId xmlns:a16="http://schemas.microsoft.com/office/drawing/2014/main" id="{2ACAB88F-AE43-ECCF-CFD2-892C0AAD5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a:extLst>
                        <a:ext uri="{FF2B5EF4-FFF2-40B4-BE49-F238E27FC236}">
                          <a16:creationId xmlns:a16="http://schemas.microsoft.com/office/drawing/2014/main" id="{2ACAB88F-AE43-ECCF-CFD2-892C0AAD5A5F}"/>
                        </a:ext>
                      </a:extLst>
                    </pic:cNvPr>
                    <pic:cNvPicPr>
                      <a:picLocks noChangeAspect="1"/>
                    </pic:cNvPicPr>
                  </pic:nvPicPr>
                  <pic:blipFill rotWithShape="1">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l="6097" t="22849" r="23868" b="9384"/>
                    <a:stretch/>
                  </pic:blipFill>
                  <pic:spPr>
                    <a:xfrm>
                      <a:off x="0" y="0"/>
                      <a:ext cx="2765906" cy="1750320"/>
                    </a:xfrm>
                    <a:prstGeom prst="rect">
                      <a:avLst/>
                    </a:prstGeom>
                  </pic:spPr>
                </pic:pic>
              </a:graphicData>
            </a:graphic>
          </wp:inline>
        </w:drawing>
      </w:r>
    </w:p>
    <w:p w14:paraId="25DBFD28" w14:textId="5E167096" w:rsidR="0001466E" w:rsidRPr="000A6653" w:rsidRDefault="00C315D2" w:rsidP="000A6653">
      <w:pPr>
        <w:spacing w:after="0" w:line="240" w:lineRule="auto"/>
        <w:jc w:val="both"/>
        <w:rPr>
          <w:rFonts w:ascii="Arial" w:eastAsia="맑은 고딕" w:hAnsi="Arial" w:cs="Arial"/>
          <w:kern w:val="0"/>
          <w:sz w:val="20"/>
          <w:szCs w:val="20"/>
          <w:lang w:eastAsia="ko-KR"/>
          <w14:ligatures w14:val="none"/>
        </w:rPr>
      </w:pPr>
      <w:r w:rsidRPr="000A6653">
        <w:rPr>
          <w:rFonts w:ascii="Arial" w:eastAsia="Calibri" w:hAnsi="Arial" w:cs="Arial"/>
          <w:b/>
          <w:bCs/>
          <w:kern w:val="0"/>
          <w:sz w:val="20"/>
          <w:szCs w:val="20"/>
          <w:lang w:val="en-GB"/>
          <w14:ligatures w14:val="none"/>
        </w:rPr>
        <w:t xml:space="preserve">Figure 1. </w:t>
      </w:r>
      <w:r w:rsidR="00AE7879" w:rsidRPr="000A6653">
        <w:rPr>
          <w:rFonts w:ascii="Arial" w:eastAsia="맑은 고딕" w:hAnsi="Arial" w:cs="Arial"/>
          <w:kern w:val="0"/>
          <w:sz w:val="20"/>
          <w:szCs w:val="20"/>
          <w:lang w:eastAsia="ko-KR"/>
          <w14:ligatures w14:val="none"/>
        </w:rPr>
        <w:t>Solubility screening of econazole nitrate in various polymeric solutions (n = 3).</w:t>
      </w:r>
    </w:p>
    <w:p w14:paraId="37683296" w14:textId="0B34F693" w:rsidR="00C315D2" w:rsidRPr="000A6653" w:rsidRDefault="0001466E" w:rsidP="000A6653">
      <w:pPr>
        <w:spacing w:after="0" w:line="240" w:lineRule="auto"/>
        <w:jc w:val="both"/>
        <w:rPr>
          <w:rFonts w:ascii="Arial" w:eastAsia="맑은 고딕" w:hAnsi="Arial" w:cs="Arial"/>
          <w:kern w:val="0"/>
          <w:sz w:val="20"/>
          <w:szCs w:val="20"/>
          <w:lang w:eastAsia="ko-KR"/>
          <w14:ligatures w14:val="none"/>
        </w:rPr>
      </w:pPr>
      <w:r w:rsidRPr="000A6653">
        <w:rPr>
          <w:rFonts w:ascii="Arial" w:eastAsia="맑은 고딕" w:hAnsi="Arial" w:cs="Arial"/>
          <w:b/>
          <w:bCs/>
          <w:kern w:val="0"/>
          <w:sz w:val="20"/>
          <w:szCs w:val="20"/>
          <w:lang w:val="en-GB" w:eastAsia="ko-KR"/>
          <w14:ligatures w14:val="none"/>
        </w:rPr>
        <w:t>Figure</w:t>
      </w:r>
      <w:r w:rsidR="00C315D2" w:rsidRPr="000A6653">
        <w:rPr>
          <w:rFonts w:ascii="Arial" w:eastAsia="Calibri" w:hAnsi="Arial" w:cs="Arial"/>
          <w:b/>
          <w:bCs/>
          <w:kern w:val="0"/>
          <w:sz w:val="20"/>
          <w:szCs w:val="20"/>
          <w:lang w:val="en-GB"/>
          <w14:ligatures w14:val="none"/>
        </w:rPr>
        <w:t xml:space="preserve"> </w:t>
      </w:r>
      <w:r w:rsidRPr="000A6653">
        <w:rPr>
          <w:rFonts w:ascii="Arial" w:eastAsia="맑은 고딕" w:hAnsi="Arial" w:cs="Arial"/>
          <w:b/>
          <w:bCs/>
          <w:kern w:val="0"/>
          <w:sz w:val="20"/>
          <w:szCs w:val="20"/>
          <w:lang w:val="en-GB" w:eastAsia="ko-KR"/>
          <w14:ligatures w14:val="none"/>
        </w:rPr>
        <w:t>2</w:t>
      </w:r>
      <w:r w:rsidR="00C315D2" w:rsidRPr="000A6653">
        <w:rPr>
          <w:rFonts w:ascii="Arial" w:eastAsia="Calibri" w:hAnsi="Arial" w:cs="Arial"/>
          <w:b/>
          <w:bCs/>
          <w:kern w:val="0"/>
          <w:sz w:val="20"/>
          <w:szCs w:val="20"/>
          <w:lang w:val="en-GB"/>
          <w14:ligatures w14:val="none"/>
        </w:rPr>
        <w:t xml:space="preserve">. </w:t>
      </w:r>
      <w:r w:rsidR="00AE7879" w:rsidRPr="000A6653">
        <w:rPr>
          <w:rFonts w:ascii="Arial" w:eastAsia="Calibri" w:hAnsi="Arial" w:cs="Arial"/>
          <w:kern w:val="0"/>
          <w:sz w:val="20"/>
          <w:szCs w:val="20"/>
          <w14:ligatures w14:val="none"/>
        </w:rPr>
        <w:t>Stereomicroscopic image of the dissolving microneedle array containing solubilized econazole nitrate.</w:t>
      </w:r>
    </w:p>
    <w:p w14:paraId="1E620C87" w14:textId="77777777" w:rsidR="00AE7879" w:rsidRPr="000A6653" w:rsidRDefault="00AE7879" w:rsidP="000A6653">
      <w:pPr>
        <w:spacing w:after="0" w:line="240" w:lineRule="auto"/>
        <w:jc w:val="both"/>
        <w:rPr>
          <w:rFonts w:ascii="Arial" w:eastAsia="맑은 고딕" w:hAnsi="Arial" w:cs="Arial"/>
          <w:b/>
          <w:kern w:val="0"/>
          <w:sz w:val="20"/>
          <w:szCs w:val="20"/>
          <w:lang w:eastAsia="ko-KR"/>
          <w14:ligatures w14:val="none"/>
        </w:rPr>
      </w:pPr>
    </w:p>
    <w:p w14:paraId="4A94D3B9" w14:textId="797E38E5" w:rsidR="000A6653" w:rsidRPr="000A6653" w:rsidRDefault="00B8473A" w:rsidP="000A6653">
      <w:pPr>
        <w:spacing w:after="0" w:line="240" w:lineRule="auto"/>
        <w:jc w:val="both"/>
        <w:rPr>
          <w:rFonts w:ascii="Arial" w:eastAsia="맑은 고딕" w:hAnsi="Arial" w:cs="Arial"/>
          <w:bCs/>
          <w:kern w:val="0"/>
          <w:sz w:val="20"/>
          <w:szCs w:val="20"/>
          <w:lang w:val="en-US" w:eastAsia="ko-KR"/>
          <w14:ligatures w14:val="none"/>
        </w:rPr>
      </w:pPr>
      <w:r w:rsidRPr="000A6653">
        <w:rPr>
          <w:rFonts w:ascii="Arial" w:eastAsia="Calibri" w:hAnsi="Arial" w:cs="Arial"/>
          <w:b/>
          <w:kern w:val="0"/>
          <w:sz w:val="20"/>
          <w:szCs w:val="20"/>
          <w14:ligatures w14:val="none"/>
        </w:rPr>
        <w:t>Conclusion/</w:t>
      </w:r>
      <w:r w:rsidR="00C315D2" w:rsidRPr="000A6653">
        <w:rPr>
          <w:rFonts w:ascii="Arial" w:eastAsia="Calibri" w:hAnsi="Arial" w:cs="Arial"/>
          <w:b/>
          <w:kern w:val="0"/>
          <w:sz w:val="20"/>
          <w:szCs w:val="20"/>
          <w14:ligatures w14:val="none"/>
        </w:rPr>
        <w:t>Discussion.</w:t>
      </w:r>
      <w:r w:rsidR="00C315D2" w:rsidRPr="000A6653">
        <w:rPr>
          <w:rFonts w:ascii="Arial" w:eastAsia="Calibri" w:hAnsi="Arial" w:cs="Arial"/>
          <w:bCs/>
          <w:kern w:val="0"/>
          <w:sz w:val="20"/>
          <w:szCs w:val="20"/>
          <w14:ligatures w14:val="none"/>
        </w:rPr>
        <w:t xml:space="preserve"> </w:t>
      </w:r>
      <w:r w:rsidR="000A6653" w:rsidRPr="000A6653">
        <w:rPr>
          <w:rFonts w:ascii="Arial" w:eastAsia="맑은 고딕" w:hAnsi="Arial" w:cs="Arial"/>
          <w:bCs/>
          <w:kern w:val="0"/>
          <w:sz w:val="20"/>
          <w:szCs w:val="20"/>
          <w:lang w:val="en-US" w:eastAsia="ko-KR"/>
          <w14:ligatures w14:val="none"/>
        </w:rPr>
        <w:t>This study demonstrates the feasibility of using DMN as a novel platform for delivering poorly water-soluble drugs such as econazole nitrate. The optimized combination of HP-β-CD and PVP K30 substantially improved solubility and yielded microneedles with uniform morphology capable of penetrating the skin barrier. These findings support the potential of DMNs as a patient-friendly and effective alternative to conventional topical formulations with limited skin permeability. Ongoing studies include further evaluation of mechanical strength, drug release behavior, and in vitro and ex vivo skin permeation to support future clinical translation.</w:t>
      </w:r>
    </w:p>
    <w:p w14:paraId="28AB1CAA" w14:textId="77777777" w:rsidR="000A6653" w:rsidRPr="000A6653" w:rsidRDefault="000A6653" w:rsidP="000A6653">
      <w:pPr>
        <w:spacing w:after="0" w:line="240" w:lineRule="auto"/>
        <w:jc w:val="both"/>
        <w:rPr>
          <w:rFonts w:ascii="Arial" w:eastAsia="맑은 고딕" w:hAnsi="Arial" w:cs="Arial"/>
          <w:bCs/>
          <w:kern w:val="0"/>
          <w:sz w:val="20"/>
          <w:szCs w:val="20"/>
          <w:lang w:val="en-US" w:eastAsia="ko-KR"/>
          <w14:ligatures w14:val="none"/>
        </w:rPr>
      </w:pPr>
    </w:p>
    <w:p w14:paraId="20E30846" w14:textId="77777777" w:rsidR="000A6653" w:rsidRPr="000A6653" w:rsidRDefault="000A6653" w:rsidP="000A6653">
      <w:pPr>
        <w:spacing w:after="0" w:line="240" w:lineRule="auto"/>
        <w:jc w:val="both"/>
        <w:rPr>
          <w:rFonts w:ascii="Arial" w:eastAsia="맑은 고딕" w:hAnsi="Arial" w:cs="Arial"/>
          <w:kern w:val="0"/>
          <w:sz w:val="20"/>
          <w:szCs w:val="20"/>
          <w:lang w:eastAsia="ko-KR"/>
          <w14:ligatures w14:val="none"/>
        </w:rPr>
      </w:pPr>
      <w:r w:rsidRPr="000A6653">
        <w:rPr>
          <w:rFonts w:ascii="Arial" w:eastAsia="맑은 고딕" w:hAnsi="Arial" w:cs="Arial"/>
          <w:b/>
          <w:kern w:val="0"/>
          <w:sz w:val="20"/>
          <w:szCs w:val="20"/>
          <w:lang w:eastAsia="ko-KR"/>
          <w14:ligatures w14:val="none"/>
        </w:rPr>
        <w:t>Acknowledgements</w:t>
      </w:r>
      <w:r w:rsidRPr="000A6653">
        <w:rPr>
          <w:rFonts w:ascii="Arial" w:eastAsia="Calibri" w:hAnsi="Arial" w:cs="Arial"/>
          <w:b/>
          <w:kern w:val="0"/>
          <w:sz w:val="20"/>
          <w:szCs w:val="20"/>
          <w14:ligatures w14:val="none"/>
        </w:rPr>
        <w:t>:</w:t>
      </w:r>
      <w:r w:rsidRPr="000A6653">
        <w:rPr>
          <w:rFonts w:ascii="Arial" w:eastAsia="맑은 고딕" w:hAnsi="Arial" w:cs="Arial"/>
          <w:b/>
          <w:kern w:val="0"/>
          <w:sz w:val="20"/>
          <w:szCs w:val="20"/>
          <w:lang w:eastAsia="ko-KR"/>
          <w14:ligatures w14:val="none"/>
        </w:rPr>
        <w:t xml:space="preserve"> </w:t>
      </w:r>
      <w:r w:rsidRPr="000A6653">
        <w:rPr>
          <w:rFonts w:ascii="Arial" w:eastAsia="Calibri" w:hAnsi="Arial" w:cs="Arial"/>
          <w:kern w:val="0"/>
          <w:sz w:val="20"/>
          <w:szCs w:val="20"/>
          <w14:ligatures w14:val="none"/>
        </w:rPr>
        <w:t>This work was supported by the National Research Foundation of Korea (NRF) grants funded by the Korean government (No. 2020R1A5A2017323 and No. 2021R1C1C1010721).</w:t>
      </w:r>
    </w:p>
    <w:p w14:paraId="4EAEBF05" w14:textId="77777777" w:rsidR="000A6653" w:rsidRPr="000A6653" w:rsidRDefault="000A6653" w:rsidP="000A6653">
      <w:pPr>
        <w:spacing w:after="0" w:line="240" w:lineRule="auto"/>
        <w:jc w:val="both"/>
        <w:rPr>
          <w:rFonts w:ascii="Arial" w:eastAsia="맑은 고딕" w:hAnsi="Arial" w:cs="Calibri"/>
          <w:bCs/>
          <w:kern w:val="0"/>
          <w:sz w:val="20"/>
          <w:szCs w:val="20"/>
          <w:lang w:eastAsia="ko-KR"/>
          <w14:ligatures w14:val="none"/>
        </w:rPr>
      </w:pPr>
    </w:p>
    <w:sectPr w:rsidR="000A6653" w:rsidRPr="000A66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AE692" w14:textId="77777777" w:rsidR="003D321D" w:rsidRDefault="003D321D" w:rsidP="00420204">
      <w:pPr>
        <w:spacing w:after="0" w:line="240" w:lineRule="auto"/>
      </w:pPr>
      <w:r>
        <w:separator/>
      </w:r>
    </w:p>
  </w:endnote>
  <w:endnote w:type="continuationSeparator" w:id="0">
    <w:p w14:paraId="5F334CD3" w14:textId="77777777" w:rsidR="003D321D" w:rsidRDefault="003D321D" w:rsidP="0042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C6670" w14:textId="77777777" w:rsidR="003D321D" w:rsidRDefault="003D321D" w:rsidP="00420204">
      <w:pPr>
        <w:spacing w:after="0" w:line="240" w:lineRule="auto"/>
      </w:pPr>
      <w:r>
        <w:separator/>
      </w:r>
    </w:p>
  </w:footnote>
  <w:footnote w:type="continuationSeparator" w:id="0">
    <w:p w14:paraId="6619FDCE" w14:textId="77777777" w:rsidR="003D321D" w:rsidRDefault="003D321D" w:rsidP="0042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466E"/>
    <w:rsid w:val="00035B96"/>
    <w:rsid w:val="000A6653"/>
    <w:rsid w:val="000B4434"/>
    <w:rsid w:val="000E3F8D"/>
    <w:rsid w:val="000E7096"/>
    <w:rsid w:val="00107368"/>
    <w:rsid w:val="00113BB7"/>
    <w:rsid w:val="00126C46"/>
    <w:rsid w:val="00174965"/>
    <w:rsid w:val="001D25EB"/>
    <w:rsid w:val="00200F85"/>
    <w:rsid w:val="002017E6"/>
    <w:rsid w:val="00294059"/>
    <w:rsid w:val="002F67B7"/>
    <w:rsid w:val="003206E4"/>
    <w:rsid w:val="003672FF"/>
    <w:rsid w:val="003A6D5C"/>
    <w:rsid w:val="003D321D"/>
    <w:rsid w:val="003F2E1B"/>
    <w:rsid w:val="004128A7"/>
    <w:rsid w:val="00415EB0"/>
    <w:rsid w:val="00420204"/>
    <w:rsid w:val="00436ED1"/>
    <w:rsid w:val="004A51B6"/>
    <w:rsid w:val="004E73AB"/>
    <w:rsid w:val="00510CF8"/>
    <w:rsid w:val="00575A29"/>
    <w:rsid w:val="00601754"/>
    <w:rsid w:val="00686E18"/>
    <w:rsid w:val="006A34BE"/>
    <w:rsid w:val="006A3BEC"/>
    <w:rsid w:val="006F3F1C"/>
    <w:rsid w:val="007141F2"/>
    <w:rsid w:val="007561D8"/>
    <w:rsid w:val="007601B1"/>
    <w:rsid w:val="00795378"/>
    <w:rsid w:val="00796206"/>
    <w:rsid w:val="007C367E"/>
    <w:rsid w:val="008071C5"/>
    <w:rsid w:val="008C42FB"/>
    <w:rsid w:val="00906D34"/>
    <w:rsid w:val="00933DC9"/>
    <w:rsid w:val="00936D4C"/>
    <w:rsid w:val="009523F9"/>
    <w:rsid w:val="009650DF"/>
    <w:rsid w:val="009B1CBB"/>
    <w:rsid w:val="00A0516D"/>
    <w:rsid w:val="00A4751C"/>
    <w:rsid w:val="00A554C5"/>
    <w:rsid w:val="00AA6FF4"/>
    <w:rsid w:val="00AE7879"/>
    <w:rsid w:val="00B4721D"/>
    <w:rsid w:val="00B8473A"/>
    <w:rsid w:val="00BA0758"/>
    <w:rsid w:val="00C039E7"/>
    <w:rsid w:val="00C21815"/>
    <w:rsid w:val="00C315D2"/>
    <w:rsid w:val="00C353D8"/>
    <w:rsid w:val="00CF5A91"/>
    <w:rsid w:val="00D02BB1"/>
    <w:rsid w:val="00D45A74"/>
    <w:rsid w:val="00D7428F"/>
    <w:rsid w:val="00DB2A61"/>
    <w:rsid w:val="00DE1C97"/>
    <w:rsid w:val="00E35976"/>
    <w:rsid w:val="00E4257A"/>
    <w:rsid w:val="00EC3746"/>
    <w:rsid w:val="00F426C8"/>
    <w:rsid w:val="00F45718"/>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420204"/>
    <w:pPr>
      <w:tabs>
        <w:tab w:val="center" w:pos="4513"/>
        <w:tab w:val="right" w:pos="9026"/>
      </w:tabs>
      <w:snapToGrid w:val="0"/>
    </w:pPr>
  </w:style>
  <w:style w:type="character" w:customStyle="1" w:styleId="Char3">
    <w:name w:val="머리글 Char"/>
    <w:basedOn w:val="a0"/>
    <w:link w:val="aa"/>
    <w:uiPriority w:val="99"/>
    <w:rsid w:val="00420204"/>
  </w:style>
  <w:style w:type="paragraph" w:styleId="ab">
    <w:name w:val="footer"/>
    <w:basedOn w:val="a"/>
    <w:link w:val="Char4"/>
    <w:uiPriority w:val="99"/>
    <w:unhideWhenUsed/>
    <w:rsid w:val="00420204"/>
    <w:pPr>
      <w:tabs>
        <w:tab w:val="center" w:pos="4513"/>
        <w:tab w:val="right" w:pos="9026"/>
      </w:tabs>
      <w:snapToGrid w:val="0"/>
    </w:pPr>
  </w:style>
  <w:style w:type="character" w:customStyle="1" w:styleId="Char4">
    <w:name w:val="바닥글 Char"/>
    <w:basedOn w:val="a0"/>
    <w:link w:val="ab"/>
    <w:uiPriority w:val="99"/>
    <w:rsid w:val="0042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09229">
      <w:bodyDiv w:val="1"/>
      <w:marLeft w:val="0"/>
      <w:marRight w:val="0"/>
      <w:marTop w:val="0"/>
      <w:marBottom w:val="0"/>
      <w:divBdr>
        <w:top w:val="none" w:sz="0" w:space="0" w:color="auto"/>
        <w:left w:val="none" w:sz="0" w:space="0" w:color="auto"/>
        <w:bottom w:val="none" w:sz="0" w:space="0" w:color="auto"/>
        <w:right w:val="none" w:sz="0" w:space="0" w:color="auto"/>
      </w:divBdr>
    </w:div>
    <w:div w:id="304505613">
      <w:bodyDiv w:val="1"/>
      <w:marLeft w:val="0"/>
      <w:marRight w:val="0"/>
      <w:marTop w:val="0"/>
      <w:marBottom w:val="0"/>
      <w:divBdr>
        <w:top w:val="none" w:sz="0" w:space="0" w:color="auto"/>
        <w:left w:val="none" w:sz="0" w:space="0" w:color="auto"/>
        <w:bottom w:val="none" w:sz="0" w:space="0" w:color="auto"/>
        <w:right w:val="none" w:sz="0" w:space="0" w:color="auto"/>
      </w:divBdr>
    </w:div>
    <w:div w:id="430243841">
      <w:bodyDiv w:val="1"/>
      <w:marLeft w:val="0"/>
      <w:marRight w:val="0"/>
      <w:marTop w:val="0"/>
      <w:marBottom w:val="0"/>
      <w:divBdr>
        <w:top w:val="none" w:sz="0" w:space="0" w:color="auto"/>
        <w:left w:val="none" w:sz="0" w:space="0" w:color="auto"/>
        <w:bottom w:val="none" w:sz="0" w:space="0" w:color="auto"/>
        <w:right w:val="none" w:sz="0" w:space="0" w:color="auto"/>
      </w:divBdr>
    </w:div>
    <w:div w:id="645742499">
      <w:bodyDiv w:val="1"/>
      <w:marLeft w:val="0"/>
      <w:marRight w:val="0"/>
      <w:marTop w:val="0"/>
      <w:marBottom w:val="0"/>
      <w:divBdr>
        <w:top w:val="none" w:sz="0" w:space="0" w:color="auto"/>
        <w:left w:val="none" w:sz="0" w:space="0" w:color="auto"/>
        <w:bottom w:val="none" w:sz="0" w:space="0" w:color="auto"/>
        <w:right w:val="none" w:sz="0" w:space="0" w:color="auto"/>
      </w:divBdr>
    </w:div>
    <w:div w:id="1040016926">
      <w:bodyDiv w:val="1"/>
      <w:marLeft w:val="0"/>
      <w:marRight w:val="0"/>
      <w:marTop w:val="0"/>
      <w:marBottom w:val="0"/>
      <w:divBdr>
        <w:top w:val="none" w:sz="0" w:space="0" w:color="auto"/>
        <w:left w:val="none" w:sz="0" w:space="0" w:color="auto"/>
        <w:bottom w:val="none" w:sz="0" w:space="0" w:color="auto"/>
        <w:right w:val="none" w:sz="0" w:space="0" w:color="auto"/>
      </w:divBdr>
    </w:div>
    <w:div w:id="1106803146">
      <w:bodyDiv w:val="1"/>
      <w:marLeft w:val="0"/>
      <w:marRight w:val="0"/>
      <w:marTop w:val="0"/>
      <w:marBottom w:val="0"/>
      <w:divBdr>
        <w:top w:val="none" w:sz="0" w:space="0" w:color="auto"/>
        <w:left w:val="none" w:sz="0" w:space="0" w:color="auto"/>
        <w:bottom w:val="none" w:sz="0" w:space="0" w:color="auto"/>
        <w:right w:val="none" w:sz="0" w:space="0" w:color="auto"/>
      </w:divBdr>
    </w:div>
    <w:div w:id="1131362559">
      <w:bodyDiv w:val="1"/>
      <w:marLeft w:val="0"/>
      <w:marRight w:val="0"/>
      <w:marTop w:val="0"/>
      <w:marBottom w:val="0"/>
      <w:divBdr>
        <w:top w:val="none" w:sz="0" w:space="0" w:color="auto"/>
        <w:left w:val="none" w:sz="0" w:space="0" w:color="auto"/>
        <w:bottom w:val="none" w:sz="0" w:space="0" w:color="auto"/>
        <w:right w:val="none" w:sz="0" w:space="0" w:color="auto"/>
      </w:divBdr>
    </w:div>
    <w:div w:id="1162045914">
      <w:bodyDiv w:val="1"/>
      <w:marLeft w:val="0"/>
      <w:marRight w:val="0"/>
      <w:marTop w:val="0"/>
      <w:marBottom w:val="0"/>
      <w:divBdr>
        <w:top w:val="none" w:sz="0" w:space="0" w:color="auto"/>
        <w:left w:val="none" w:sz="0" w:space="0" w:color="auto"/>
        <w:bottom w:val="none" w:sz="0" w:space="0" w:color="auto"/>
        <w:right w:val="none" w:sz="0" w:space="0" w:color="auto"/>
      </w:divBdr>
    </w:div>
    <w:div w:id="1459762843">
      <w:bodyDiv w:val="1"/>
      <w:marLeft w:val="0"/>
      <w:marRight w:val="0"/>
      <w:marTop w:val="0"/>
      <w:marBottom w:val="0"/>
      <w:divBdr>
        <w:top w:val="none" w:sz="0" w:space="0" w:color="auto"/>
        <w:left w:val="none" w:sz="0" w:space="0" w:color="auto"/>
        <w:bottom w:val="none" w:sz="0" w:space="0" w:color="auto"/>
        <w:right w:val="none" w:sz="0" w:space="0" w:color="auto"/>
      </w:divBdr>
    </w:div>
    <w:div w:id="1594123795">
      <w:bodyDiv w:val="1"/>
      <w:marLeft w:val="0"/>
      <w:marRight w:val="0"/>
      <w:marTop w:val="0"/>
      <w:marBottom w:val="0"/>
      <w:divBdr>
        <w:top w:val="none" w:sz="0" w:space="0" w:color="auto"/>
        <w:left w:val="none" w:sz="0" w:space="0" w:color="auto"/>
        <w:bottom w:val="none" w:sz="0" w:space="0" w:color="auto"/>
        <w:right w:val="none" w:sz="0" w:space="0" w:color="auto"/>
      </w:divBdr>
    </w:div>
    <w:div w:id="1603537305">
      <w:bodyDiv w:val="1"/>
      <w:marLeft w:val="0"/>
      <w:marRight w:val="0"/>
      <w:marTop w:val="0"/>
      <w:marBottom w:val="0"/>
      <w:divBdr>
        <w:top w:val="none" w:sz="0" w:space="0" w:color="auto"/>
        <w:left w:val="none" w:sz="0" w:space="0" w:color="auto"/>
        <w:bottom w:val="none" w:sz="0" w:space="0" w:color="auto"/>
        <w:right w:val="none" w:sz="0" w:space="0" w:color="auto"/>
      </w:divBdr>
    </w:div>
    <w:div w:id="1620531017">
      <w:bodyDiv w:val="1"/>
      <w:marLeft w:val="0"/>
      <w:marRight w:val="0"/>
      <w:marTop w:val="0"/>
      <w:marBottom w:val="0"/>
      <w:divBdr>
        <w:top w:val="none" w:sz="0" w:space="0" w:color="auto"/>
        <w:left w:val="none" w:sz="0" w:space="0" w:color="auto"/>
        <w:bottom w:val="none" w:sz="0" w:space="0" w:color="auto"/>
        <w:right w:val="none" w:sz="0" w:space="0" w:color="auto"/>
      </w:divBdr>
    </w:div>
    <w:div w:id="1622031294">
      <w:bodyDiv w:val="1"/>
      <w:marLeft w:val="0"/>
      <w:marRight w:val="0"/>
      <w:marTop w:val="0"/>
      <w:marBottom w:val="0"/>
      <w:divBdr>
        <w:top w:val="none" w:sz="0" w:space="0" w:color="auto"/>
        <w:left w:val="none" w:sz="0" w:space="0" w:color="auto"/>
        <w:bottom w:val="none" w:sz="0" w:space="0" w:color="auto"/>
        <w:right w:val="none" w:sz="0" w:space="0" w:color="auto"/>
      </w:divBdr>
    </w:div>
    <w:div w:id="1866282623">
      <w:bodyDiv w:val="1"/>
      <w:marLeft w:val="0"/>
      <w:marRight w:val="0"/>
      <w:marTop w:val="0"/>
      <w:marBottom w:val="0"/>
      <w:divBdr>
        <w:top w:val="none" w:sz="0" w:space="0" w:color="auto"/>
        <w:left w:val="none" w:sz="0" w:space="0" w:color="auto"/>
        <w:bottom w:val="none" w:sz="0" w:space="0" w:color="auto"/>
        <w:right w:val="none" w:sz="0" w:space="0" w:color="auto"/>
      </w:divBdr>
    </w:div>
    <w:div w:id="1884172199">
      <w:bodyDiv w:val="1"/>
      <w:marLeft w:val="0"/>
      <w:marRight w:val="0"/>
      <w:marTop w:val="0"/>
      <w:marBottom w:val="0"/>
      <w:divBdr>
        <w:top w:val="none" w:sz="0" w:space="0" w:color="auto"/>
        <w:left w:val="none" w:sz="0" w:space="0" w:color="auto"/>
        <w:bottom w:val="none" w:sz="0" w:space="0" w:color="auto"/>
        <w:right w:val="none" w:sz="0" w:space="0" w:color="auto"/>
      </w:divBdr>
    </w:div>
    <w:div w:id="1999797056">
      <w:bodyDiv w:val="1"/>
      <w:marLeft w:val="0"/>
      <w:marRight w:val="0"/>
      <w:marTop w:val="0"/>
      <w:marBottom w:val="0"/>
      <w:divBdr>
        <w:top w:val="none" w:sz="0" w:space="0" w:color="auto"/>
        <w:left w:val="none" w:sz="0" w:space="0" w:color="auto"/>
        <w:bottom w:val="none" w:sz="0" w:space="0" w:color="auto"/>
        <w:right w:val="none" w:sz="0" w:space="0" w:color="auto"/>
      </w:divBdr>
    </w:div>
    <w:div w:id="20978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주연 박</cp:lastModifiedBy>
  <cp:revision>2</cp:revision>
  <dcterms:created xsi:type="dcterms:W3CDTF">2025-07-28T06:03:00Z</dcterms:created>
  <dcterms:modified xsi:type="dcterms:W3CDTF">2025-07-28T06:03:00Z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