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E0F9F" w14:textId="7F884D84" w:rsidR="000A1423" w:rsidRPr="00497276" w:rsidRDefault="000A1423" w:rsidP="000A1423">
      <w:pPr>
        <w:spacing w:after="0" w:line="240" w:lineRule="auto"/>
        <w:rPr>
          <w:rFonts w:ascii="Arial" w:eastAsia="等线" w:hAnsi="Arial" w:cs="Calibri" w:hint="eastAsia"/>
          <w:b/>
          <w:bCs/>
          <w:kern w:val="0"/>
          <w:lang w:val="en-US" w:eastAsia="zh-CN"/>
          <w14:ligatures w14:val="none"/>
        </w:rPr>
      </w:pPr>
      <w:r w:rsidRPr="000A1423">
        <w:rPr>
          <w:rFonts w:ascii="Arial" w:eastAsia="Calibri" w:hAnsi="Arial" w:cs="Calibri"/>
          <w:b/>
          <w:bCs/>
          <w:kern w:val="0"/>
          <w:lang w:val="en-US"/>
          <w14:ligatures w14:val="none"/>
        </w:rPr>
        <w:t>Bioengineered brain targeting RVG-modified BMSCs-derived small extracellular vesicles overexpressed with miR-21 alleviate excess autophagic neuronal injury after cerebral ischemia via regulating PTEN/Akt/mTOR pathway</w:t>
      </w:r>
    </w:p>
    <w:p w14:paraId="75B54C19" w14:textId="2B12CB92" w:rsidR="000A1423" w:rsidRPr="00497276" w:rsidRDefault="000A1423" w:rsidP="000A1423">
      <w:pPr>
        <w:spacing w:after="0" w:line="240" w:lineRule="auto"/>
        <w:rPr>
          <w:rFonts w:ascii="Arial" w:eastAsia="等线" w:hAnsi="Arial" w:cs="Calibri"/>
          <w:b/>
          <w:kern w:val="0"/>
          <w:sz w:val="20"/>
          <w:szCs w:val="20"/>
          <w:lang w:eastAsia="zh-CN"/>
          <w14:ligatures w14:val="none"/>
        </w:rPr>
      </w:pPr>
      <w:r w:rsidRPr="00DF7A76">
        <w:rPr>
          <w:rFonts w:ascii="Arial" w:eastAsia="Calibri" w:hAnsi="Arial" w:cs="Calibri"/>
          <w:b/>
          <w:kern w:val="0"/>
          <w:sz w:val="20"/>
          <w:szCs w:val="20"/>
          <w:u w:val="single"/>
          <w14:ligatures w14:val="none"/>
        </w:rPr>
        <w:t>Yiyang Li</w:t>
      </w:r>
      <w:r w:rsidRPr="00DF7A76">
        <w:rPr>
          <w:rFonts w:ascii="Arial" w:eastAsia="Calibri" w:hAnsi="Arial" w:cs="Calibri"/>
          <w:b/>
          <w:kern w:val="0"/>
          <w:sz w:val="20"/>
          <w:szCs w:val="20"/>
          <w:u w:val="single"/>
          <w:vertAlign w:val="superscript"/>
          <w14:ligatures w14:val="none"/>
        </w:rPr>
        <w:t>1</w:t>
      </w:r>
      <w:r w:rsidRPr="000A1423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 xml:space="preserve">, </w:t>
      </w:r>
      <w:r w:rsidRPr="00DF7A7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Jiacheng Hu</w:t>
      </w:r>
      <w:r w:rsidRPr="00DF7A76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1</w:t>
      </w:r>
      <w:r w:rsidRPr="00DF7A7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, </w:t>
      </w:r>
      <w:proofErr w:type="spellStart"/>
      <w:r w:rsidRPr="00DF7A7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Jinfen</w:t>
      </w:r>
      <w:proofErr w:type="spellEnd"/>
      <w:r w:rsidRPr="00DF7A7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Chen</w:t>
      </w:r>
      <w:r w:rsidRPr="00DF7A76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1</w:t>
      </w:r>
      <w:r w:rsidRPr="00DF7A7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, </w:t>
      </w:r>
      <w:proofErr w:type="spellStart"/>
      <w:r w:rsidRPr="00DF7A7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Manfei</w:t>
      </w:r>
      <w:proofErr w:type="spellEnd"/>
      <w:r w:rsidRPr="00DF7A7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Zhou</w:t>
      </w:r>
      <w:r w:rsidRPr="00DF7A76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1</w:t>
      </w:r>
      <w:r w:rsidRPr="00DF7A7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, </w:t>
      </w:r>
      <w:proofErr w:type="spellStart"/>
      <w:r w:rsidRPr="00DF7A7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Mingchun</w:t>
      </w:r>
      <w:proofErr w:type="spellEnd"/>
      <w:r w:rsidRPr="00DF7A7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Liao</w:t>
      </w:r>
      <w:r w:rsidRPr="00DF7A76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1,3</w:t>
      </w:r>
      <w:r w:rsidRPr="00DF7A7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, </w:t>
      </w:r>
      <w:proofErr w:type="spellStart"/>
      <w:r w:rsidRPr="00DF7A7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Yayue</w:t>
      </w:r>
      <w:proofErr w:type="spellEnd"/>
      <w:r w:rsidRPr="00DF7A7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Yang</w:t>
      </w:r>
      <w:r w:rsidRPr="00DF7A76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1,3</w:t>
      </w:r>
      <w:r w:rsidRPr="00DF7A7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, Jiahao Zhou</w:t>
      </w:r>
      <w:r w:rsidRPr="00DF7A76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1</w:t>
      </w:r>
      <w:r w:rsidRPr="00DF7A7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, Bin Wang</w:t>
      </w:r>
      <w:r w:rsidRPr="00DF7A76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3</w:t>
      </w:r>
      <w:r w:rsidRPr="000A1423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 xml:space="preserve">, </w:t>
      </w:r>
      <w:r w:rsidRPr="00DF7A76">
        <w:rPr>
          <w:rFonts w:ascii="Arial" w:eastAsia="Calibri" w:hAnsi="Arial" w:cs="Calibri"/>
          <w:b/>
          <w:kern w:val="0"/>
          <w:sz w:val="20"/>
          <w:szCs w:val="20"/>
          <w:u w:val="single"/>
          <w14:ligatures w14:val="none"/>
        </w:rPr>
        <w:t>Yonghua Zhao</w:t>
      </w:r>
      <w:r w:rsidRPr="00DF7A76">
        <w:rPr>
          <w:rFonts w:ascii="Arial" w:eastAsia="Calibri" w:hAnsi="Arial" w:cs="Calibri"/>
          <w:b/>
          <w:kern w:val="0"/>
          <w:sz w:val="20"/>
          <w:szCs w:val="20"/>
          <w:u w:val="single"/>
          <w:vertAlign w:val="superscript"/>
          <w14:ligatures w14:val="none"/>
        </w:rPr>
        <w:t>1, 2, *</w:t>
      </w:r>
    </w:p>
    <w:p w14:paraId="3D6CDD67" w14:textId="6FF06DE8" w:rsidR="000A1423" w:rsidRPr="000A1423" w:rsidRDefault="000A1423" w:rsidP="000A1423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 w:rsidRPr="000A142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1. Institute of Chinese Medical Sciences, The State Key Laboratory of Mechanism and Quality of Chinese Medicine (University of Macau), Taipa, Macau SAR, China</w:t>
      </w:r>
    </w:p>
    <w:p w14:paraId="1476A07F" w14:textId="77777777" w:rsidR="000A1423" w:rsidRPr="000A1423" w:rsidRDefault="000A1423" w:rsidP="000A1423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 w:rsidRPr="000A142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2. Department of Pharmaceutical Sciences, Faculty of Health Sciences, University of Macau, Taipa, Macau SAR, China</w:t>
      </w:r>
    </w:p>
    <w:p w14:paraId="75CB2D69" w14:textId="6B636355" w:rsidR="000A1423" w:rsidRDefault="000A1423" w:rsidP="000A1423">
      <w:pPr>
        <w:spacing w:after="0" w:line="240" w:lineRule="auto"/>
        <w:rPr>
          <w:rFonts w:ascii="Arial" w:eastAsia="等线" w:hAnsi="Arial" w:cs="Calibri" w:hint="eastAsia"/>
          <w:bCs/>
          <w:i/>
          <w:kern w:val="0"/>
          <w:sz w:val="20"/>
          <w:szCs w:val="20"/>
          <w:lang w:val="en-US" w:eastAsia="zh-CN"/>
          <w14:ligatures w14:val="none"/>
        </w:rPr>
      </w:pPr>
      <w:r w:rsidRPr="000A142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3. Guangdong Institute of Intelligence Science and Technology, Zhuhai, Guangdong, China.</w:t>
      </w:r>
      <w:r w:rsidR="00C315D2" w:rsidRPr="000A1423">
        <w:rPr>
          <w:rFonts w:ascii="Arial" w:eastAsia="Calibri" w:hAnsi="Arial" w:cs="Calibri"/>
          <w:bCs/>
          <w:i/>
          <w:kern w:val="0"/>
          <w:sz w:val="20"/>
          <w:szCs w:val="20"/>
          <w:lang w:val="en-US"/>
          <w14:ligatures w14:val="none"/>
        </w:rPr>
        <w:t xml:space="preserve"> </w:t>
      </w:r>
    </w:p>
    <w:p w14:paraId="494B7C68" w14:textId="589A0285" w:rsidR="000A1423" w:rsidRPr="00DF7A76" w:rsidRDefault="000A1423" w:rsidP="000A1423">
      <w:pPr>
        <w:spacing w:after="0" w:line="240" w:lineRule="auto"/>
        <w:rPr>
          <w:rFonts w:ascii="Arial" w:eastAsia="等线" w:hAnsi="Arial" w:cs="Calibri"/>
          <w:b/>
          <w:kern w:val="0"/>
          <w:sz w:val="20"/>
          <w:szCs w:val="20"/>
          <w:lang w:eastAsia="zh-CN"/>
          <w14:ligatures w14:val="none"/>
        </w:rPr>
      </w:pPr>
      <w:r w:rsidRPr="00DF7A76">
        <w:rPr>
          <w:rFonts w:ascii="Arial" w:eastAsia="等线" w:hAnsi="Arial" w:cs="Calibri"/>
          <w:b/>
          <w:kern w:val="0"/>
          <w:sz w:val="20"/>
          <w:szCs w:val="20"/>
          <w:lang w:eastAsia="zh-CN"/>
          <w14:ligatures w14:val="none"/>
        </w:rPr>
        <w:t>*Corresponding author</w:t>
      </w:r>
    </w:p>
    <w:p w14:paraId="17CE9629" w14:textId="77777777" w:rsidR="000A1423" w:rsidRPr="000A1423" w:rsidRDefault="000A1423" w:rsidP="000A1423">
      <w:pPr>
        <w:spacing w:after="0" w:line="240" w:lineRule="auto"/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</w:pPr>
    </w:p>
    <w:p w14:paraId="0BEC60F3" w14:textId="2A036A37" w:rsidR="000A1423" w:rsidRPr="00151B49" w:rsidRDefault="00B8473A" w:rsidP="00C315D2">
      <w:pPr>
        <w:spacing w:after="0" w:line="240" w:lineRule="auto"/>
        <w:jc w:val="both"/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</w:pPr>
      <w:r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Background and aims</w:t>
      </w:r>
      <w:r w:rsidR="00C315D2"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.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0A1423" w:rsidRPr="000A142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Ischemic stroke results in tragic disability and a high risk of death</w:t>
      </w:r>
      <w:r w:rsidR="003B102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;</w:t>
      </w:r>
      <w:r w:rsidR="000A1423" w:rsidRPr="000A142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however, there are limited therapeutic measures for recovering neurological function. Small extracellular vesicles (</w:t>
      </w:r>
      <w:proofErr w:type="spellStart"/>
      <w:r w:rsidR="000A1423" w:rsidRPr="000A142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sEVs</w:t>
      </w:r>
      <w:proofErr w:type="spellEnd"/>
      <w:r w:rsidR="000A1423" w:rsidRPr="000A142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) derived from bone marrow mesenchymal stem cells (BMSCs) have recently been </w:t>
      </w:r>
      <w:r w:rsidR="00383479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>popular in</w:t>
      </w:r>
      <w:r w:rsidR="000A1423" w:rsidRPr="000A142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383479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exerting</w:t>
      </w:r>
      <w:r w:rsidR="000A1423" w:rsidRPr="000A142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satisfactory therapeutic effects on post-cerebral ischemia treatment based on the delivery of their packed microRNA (miRNA). However, naïve </w:t>
      </w:r>
      <w:proofErr w:type="spellStart"/>
      <w:r w:rsidR="000A1423" w:rsidRPr="000A142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sEVs</w:t>
      </w:r>
      <w:proofErr w:type="spellEnd"/>
      <w:r w:rsidR="000A1423" w:rsidRPr="000A142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have a low ratio to cross </w:t>
      </w:r>
      <w:r w:rsidR="003B102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the </w:t>
      </w:r>
      <w:r w:rsidR="000A1423" w:rsidRPr="000A142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blood-brain barrier (BBB), also, the low abundance of </w:t>
      </w:r>
      <w:proofErr w:type="spellStart"/>
      <w:r w:rsidR="003B102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sEVs</w:t>
      </w:r>
      <w:proofErr w:type="spellEnd"/>
      <w:r w:rsidR="003B102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'</w:t>
      </w:r>
      <w:r w:rsidR="000A1423" w:rsidRPr="000A142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cargo miRNA restricts the possibility of maximizing their regulatory functions.</w:t>
      </w:r>
      <w:r w:rsidR="00151B49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</w:t>
      </w:r>
      <w:r w:rsidR="00151B49" w:rsidRPr="00151B49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Rabies virus glycoprotein (RVG) has a high affinity to acetylcholine receptor (</w:t>
      </w:r>
      <w:proofErr w:type="spellStart"/>
      <w:r w:rsidR="00151B49" w:rsidRPr="00151B49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AchR</w:t>
      </w:r>
      <w:proofErr w:type="spellEnd"/>
      <w:r w:rsidR="00151B49" w:rsidRPr="00151B49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), which is highly expressed in neurons</w:t>
      </w:r>
      <w:r w:rsidR="004622A1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, and RVG modification in </w:t>
      </w:r>
      <w:proofErr w:type="spellStart"/>
      <w:r w:rsidR="004622A1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>sEVs</w:t>
      </w:r>
      <w:proofErr w:type="spellEnd"/>
      <w:r w:rsidR="004622A1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</w:t>
      </w:r>
      <w:r w:rsidR="00497276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>can</w:t>
      </w:r>
      <w:r w:rsidR="004622A1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enhance their brain </w:t>
      </w:r>
      <w:r w:rsidR="004622A1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affinity</w:t>
      </w:r>
      <w:r w:rsidR="004622A1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. </w:t>
      </w:r>
      <w:r w:rsidR="004622A1" w:rsidRPr="004622A1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In this study, we first generated bio-engineered RVG-modified BMSC-</w:t>
      </w:r>
      <w:proofErr w:type="spellStart"/>
      <w:r w:rsidR="004622A1" w:rsidRPr="004622A1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sEVs</w:t>
      </w:r>
      <w:proofErr w:type="spellEnd"/>
      <w:r w:rsidR="004622A1" w:rsidRPr="004622A1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 xml:space="preserve"> to deliver overexpressed miR-21-5p into the brain</w:t>
      </w:r>
      <w:r w:rsidR="004622A1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to enhance ischemic stroke treatment.</w:t>
      </w:r>
    </w:p>
    <w:p w14:paraId="7C6741AD" w14:textId="77777777" w:rsidR="003B1026" w:rsidRPr="004622A1" w:rsidRDefault="003B1026" w:rsidP="00C315D2">
      <w:pPr>
        <w:spacing w:after="0" w:line="240" w:lineRule="auto"/>
        <w:jc w:val="both"/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</w:pPr>
    </w:p>
    <w:p w14:paraId="48C0479A" w14:textId="41941EE7" w:rsidR="00C315D2" w:rsidRPr="00296976" w:rsidRDefault="00C315D2" w:rsidP="00C315D2">
      <w:pPr>
        <w:spacing w:after="0" w:line="240" w:lineRule="auto"/>
        <w:jc w:val="both"/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</w:pPr>
      <w:r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Methods.</w:t>
      </w:r>
      <w:r w:rsidR="00296976">
        <w:rPr>
          <w:rFonts w:ascii="Arial" w:eastAsia="等线" w:hAnsi="Arial" w:cs="Calibri" w:hint="eastAsia"/>
          <w:b/>
          <w:kern w:val="0"/>
          <w:sz w:val="20"/>
          <w:szCs w:val="20"/>
          <w:lang w:eastAsia="zh-CN"/>
          <w14:ligatures w14:val="none"/>
        </w:rPr>
        <w:t xml:space="preserve"> </w:t>
      </w:r>
      <w:proofErr w:type="spellStart"/>
      <w:r w:rsidR="00296976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>sEVs</w:t>
      </w:r>
      <w:proofErr w:type="spellEnd"/>
      <w:r w:rsidR="00296976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miRNA-seq technology, and analysis </w:t>
      </w:r>
      <w:r w:rsidR="00296976" w:rsidRPr="00296976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of </w:t>
      </w:r>
      <w:r w:rsidR="00296976" w:rsidRPr="00296976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the </w:t>
      </w:r>
      <w:r w:rsidR="00296976" w:rsidRPr="00296976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>mi</w:t>
      </w:r>
      <w:r w:rsidR="00296976" w:rsidRPr="00296976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>RNA-seq datasets of stroke patients</w:t>
      </w:r>
      <w:r w:rsidR="00296976" w:rsidRPr="00296976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’</w:t>
      </w:r>
      <w:r w:rsidR="00296976" w:rsidRPr="00296976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samples in GEO database</w:t>
      </w:r>
      <w:r w:rsidR="00296976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was used to figure out </w:t>
      </w:r>
      <w:r w:rsidR="00296976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that</w:t>
      </w:r>
      <w:r w:rsidR="00296976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miR-21-5p </w:t>
      </w:r>
      <w:r w:rsidR="00296976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is</w:t>
      </w:r>
      <w:r w:rsidR="00296976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</w:t>
      </w:r>
      <w:r w:rsidR="00296976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decreased</w:t>
      </w:r>
      <w:r w:rsidR="00296976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in stroke patients</w:t>
      </w:r>
      <w:r w:rsidR="00296976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’</w:t>
      </w:r>
      <w:r w:rsidR="00296976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</w:t>
      </w:r>
      <w:r w:rsidR="00DF7A76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brains and</w:t>
      </w:r>
      <w:r w:rsidR="00296976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enriched in BMSC-</w:t>
      </w:r>
      <w:proofErr w:type="spellStart"/>
      <w:r w:rsidR="00296976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>sEVs</w:t>
      </w:r>
      <w:proofErr w:type="spellEnd"/>
      <w:r w:rsidR="00296976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. Plasmid </w:t>
      </w:r>
      <w:r w:rsidR="00296976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transfection based</w:t>
      </w:r>
      <w:r w:rsidR="00296976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on lentivirus </w:t>
      </w:r>
      <w:r w:rsidR="00296976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vector</w:t>
      </w:r>
      <w:r w:rsidR="00296976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</w:t>
      </w:r>
      <w:r w:rsidR="00151B49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was used to overexpress </w:t>
      </w:r>
      <w:r w:rsidR="00151B49" w:rsidRPr="00151B49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RVG-Lamp2b peptide and miR-21-5p</w:t>
      </w:r>
      <w:r w:rsidR="00151B49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>.</w:t>
      </w:r>
      <w:r w:rsidR="004622A1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</w:t>
      </w:r>
      <w:r w:rsidR="00151B49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>O</w:t>
      </w:r>
      <w:r w:rsidR="00151B49" w:rsidRPr="00151B49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xygen-glucose deprivation/re-oxygenation (OGD/R)</w:t>
      </w:r>
      <w:r w:rsidR="00151B49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insulted primary neurons and </w:t>
      </w:r>
      <w:r w:rsidR="00151B49" w:rsidRPr="00151B49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transient middle cerebral artery occlusion (</w:t>
      </w:r>
      <w:proofErr w:type="spellStart"/>
      <w:r w:rsidR="00151B49" w:rsidRPr="00151B49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tMCAo</w:t>
      </w:r>
      <w:proofErr w:type="spellEnd"/>
      <w:r w:rsidR="00151B49" w:rsidRPr="00151B49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)</w:t>
      </w:r>
      <w:r w:rsidR="00151B49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mice model</w:t>
      </w:r>
      <w:r w:rsidR="004622A1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>, in vivo bio-imaging and m</w:t>
      </w:r>
      <w:r w:rsidR="004622A1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ice </w:t>
      </w:r>
      <w:r w:rsidR="004622A1" w:rsidRPr="004622A1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neurobehavioral tests</w:t>
      </w:r>
      <w:r w:rsidR="00151B49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</w:t>
      </w:r>
      <w:r w:rsidR="004622A1"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  <w:t>were</w:t>
      </w:r>
      <w:r w:rsidR="00151B49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used to evaluate brain targeting and treatment efficacies. </w:t>
      </w:r>
      <w:r w:rsidR="004622A1">
        <w:rPr>
          <w:rFonts w:ascii="Arial" w:eastAsia="等线" w:hAnsi="Arial" w:cs="Calibri" w:hint="eastAsia"/>
          <w:kern w:val="0"/>
          <w:sz w:val="20"/>
          <w:szCs w:val="20"/>
          <w:lang w:val="en-US" w:eastAsia="zh-CN"/>
          <w14:ligatures w14:val="none"/>
        </w:rPr>
        <w:t>D</w:t>
      </w:r>
      <w:r w:rsidR="004622A1" w:rsidRPr="004622A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ual-luciferase reporter assay</w:t>
      </w:r>
      <w:r w:rsidR="004622A1">
        <w:rPr>
          <w:rFonts w:ascii="Arial" w:eastAsia="等线" w:hAnsi="Arial" w:cs="Calibri" w:hint="eastAsia"/>
          <w:kern w:val="0"/>
          <w:sz w:val="20"/>
          <w:szCs w:val="20"/>
          <w:lang w:val="en-US" w:eastAsia="zh-CN"/>
          <w14:ligatures w14:val="none"/>
        </w:rPr>
        <w:t>,</w:t>
      </w:r>
      <w:r w:rsidR="004622A1" w:rsidRPr="004622A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and FISH technique</w:t>
      </w:r>
    </w:p>
    <w:p w14:paraId="1387B9C3" w14:textId="77777777" w:rsidR="00C315D2" w:rsidRPr="00C315D2" w:rsidRDefault="00C315D2" w:rsidP="00C315D2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lang w:val="en-GB"/>
          <w14:ligatures w14:val="none"/>
        </w:rPr>
      </w:pPr>
    </w:p>
    <w:p w14:paraId="777A9E0F" w14:textId="14C2FD88" w:rsidR="2021B9E9" w:rsidRDefault="00795378" w:rsidP="2021B9E9">
      <w:pPr>
        <w:spacing w:after="0" w:line="240" w:lineRule="auto"/>
        <w:jc w:val="both"/>
        <w:rPr>
          <w:rFonts w:ascii="Arial" w:eastAsia="Calibri" w:hAnsi="Arial" w:cs="Calibri"/>
          <w:sz w:val="20"/>
          <w:szCs w:val="20"/>
          <w:lang w:val="en-US"/>
        </w:rPr>
      </w:pPr>
      <w:r w:rsidRPr="2021B9E9">
        <w:rPr>
          <w:rFonts w:ascii="Arial" w:eastAsia="Calibri" w:hAnsi="Arial" w:cs="Calibri"/>
          <w:b/>
          <w:bCs/>
          <w:kern w:val="0"/>
          <w:sz w:val="20"/>
          <w:szCs w:val="20"/>
          <w14:ligatures w14:val="none"/>
        </w:rPr>
        <w:t>Results.</w:t>
      </w:r>
      <w:r w:rsidR="004622A1">
        <w:rPr>
          <w:rFonts w:ascii="Arial" w:eastAsia="等线" w:hAnsi="Arial" w:cs="Calibri" w:hint="eastAsia"/>
          <w:b/>
          <w:bCs/>
          <w:kern w:val="0"/>
          <w:sz w:val="20"/>
          <w:szCs w:val="20"/>
          <w:lang w:eastAsia="zh-CN"/>
          <w14:ligatures w14:val="none"/>
        </w:rPr>
        <w:t xml:space="preserve"> </w:t>
      </w:r>
      <w:r w:rsidR="004622A1" w:rsidRPr="004622A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RVG-miR21-sEVs were characterized, and RVG-modified </w:t>
      </w:r>
      <w:proofErr w:type="spellStart"/>
      <w:r w:rsidR="004622A1" w:rsidRPr="004622A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sEVs</w:t>
      </w:r>
      <w:proofErr w:type="spellEnd"/>
      <w:r w:rsidR="004622A1" w:rsidRPr="004622A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were verified to cross the BBB, with a high affinity to neurons. The administration of RVG-miR21-sEVs showed superior neurological function recovery and reduced brain infarction in mice </w:t>
      </w:r>
      <w:proofErr w:type="spellStart"/>
      <w:r w:rsidR="004622A1" w:rsidRPr="004622A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tMCAo</w:t>
      </w:r>
      <w:proofErr w:type="spellEnd"/>
      <w:r w:rsidR="004622A1" w:rsidRPr="004622A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</w:t>
      </w:r>
      <w:proofErr w:type="gramStart"/>
      <w:r w:rsidR="004622A1" w:rsidRPr="004622A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model</w:t>
      </w:r>
      <w:proofErr w:type="gramEnd"/>
      <w:r w:rsidR="004622A1" w:rsidRPr="004622A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. Additionally, RVG-miR21-sEVs inhibited neuron autophagy, mitochondria dysfunction, and apoptosis after oxygen-glucose deprivation/re-oxygenation (OGD/R) insult. Furthermore, we validated </w:t>
      </w:r>
      <w:r w:rsidR="004622A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that </w:t>
      </w:r>
      <w:r w:rsidR="004622A1" w:rsidRPr="004622A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the target of miR-21</w:t>
      </w:r>
      <w:r w:rsidR="004622A1">
        <w:rPr>
          <w:rFonts w:ascii="Arial" w:eastAsia="等线" w:hAnsi="Arial" w:cs="Calibri" w:hint="eastAsia"/>
          <w:kern w:val="0"/>
          <w:sz w:val="20"/>
          <w:szCs w:val="20"/>
          <w:lang w:val="en-US" w:eastAsia="zh-CN"/>
          <w14:ligatures w14:val="none"/>
        </w:rPr>
        <w:t>-5p</w:t>
      </w:r>
      <w:r w:rsidR="004622A1" w:rsidRPr="004622A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is PTEN, and mechanically, we discovered that miR-21</w:t>
      </w:r>
      <w:r w:rsidR="004622A1">
        <w:rPr>
          <w:rFonts w:ascii="Arial" w:eastAsia="等线" w:hAnsi="Arial" w:cs="Calibri" w:hint="eastAsia"/>
          <w:kern w:val="0"/>
          <w:sz w:val="20"/>
          <w:szCs w:val="20"/>
          <w:lang w:val="en-US" w:eastAsia="zh-CN"/>
          <w14:ligatures w14:val="none"/>
        </w:rPr>
        <w:t>-5p</w:t>
      </w:r>
      <w:r w:rsidR="004622A1" w:rsidRPr="004622A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antagonizes PTEN/Akt/</w:t>
      </w:r>
      <w:proofErr w:type="gramStart"/>
      <w:r w:rsidR="004622A1" w:rsidRPr="004622A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mTOR</w:t>
      </w:r>
      <w:proofErr w:type="gramEnd"/>
      <w:r w:rsidR="004622A1" w:rsidRPr="004622A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pathway to regulate neuronal excessive autophagic injury after ischemic stroke.</w:t>
      </w:r>
    </w:p>
    <w:p w14:paraId="5D65706F" w14:textId="77777777" w:rsidR="00C315D2" w:rsidRDefault="00C315D2" w:rsidP="00C315D2">
      <w:pPr>
        <w:spacing w:after="0" w:line="240" w:lineRule="auto"/>
        <w:jc w:val="both"/>
        <w:rPr>
          <w:rFonts w:ascii="Arial" w:eastAsia="等线" w:hAnsi="Arial" w:cs="Calibri" w:hint="eastAsia"/>
          <w:b/>
          <w:kern w:val="0"/>
          <w:sz w:val="20"/>
          <w:szCs w:val="20"/>
          <w:lang w:eastAsia="zh-CN"/>
          <w14:ligatures w14:val="none"/>
        </w:rPr>
      </w:pPr>
    </w:p>
    <w:p w14:paraId="7A6A1625" w14:textId="41A0A29C" w:rsidR="00C315D2" w:rsidRPr="00DF7A76" w:rsidRDefault="00876969" w:rsidP="00DF7A76">
      <w:pPr>
        <w:spacing w:after="0" w:line="240" w:lineRule="auto"/>
        <w:jc w:val="center"/>
        <w:rPr>
          <w:rFonts w:ascii="Times New Roman" w:eastAsia="等线" w:hAnsi="Times New Roman" w:cs="Times New Roman"/>
          <w:b/>
          <w:bCs/>
          <w:noProof/>
          <w:sz w:val="28"/>
          <w:szCs w:val="32"/>
          <w:lang w:val="en-US" w:eastAsia="zh-CN"/>
        </w:rPr>
      </w:pPr>
      <w:r>
        <w:rPr>
          <w:rFonts w:ascii="Times New Roman" w:eastAsia="等线" w:hAnsi="Times New Roman" w:cs="Times New Roman"/>
          <w:b/>
          <w:bCs/>
          <w:noProof/>
          <w:sz w:val="28"/>
          <w:szCs w:val="32"/>
          <w:lang w:val="en-US" w:eastAsia="zh-CN"/>
        </w:rPr>
        <w:drawing>
          <wp:inline distT="0" distB="0" distL="0" distR="0" wp14:anchorId="4A8B22BF" wp14:editId="4B09EA00">
            <wp:extent cx="2223015" cy="1552614"/>
            <wp:effectExtent l="0" t="0" r="6350" b="0"/>
            <wp:docPr id="412514231" name="图片 6" descr="图片包含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14231" name="图片 6" descr="图片包含 图示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8730" cy="15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6D0B0" w14:textId="77777777" w:rsidR="00DF7A76" w:rsidRPr="00296976" w:rsidRDefault="00DF7A76" w:rsidP="00C315D2">
      <w:pPr>
        <w:spacing w:after="0" w:line="240" w:lineRule="auto"/>
        <w:jc w:val="both"/>
        <w:rPr>
          <w:rFonts w:ascii="Arial" w:eastAsia="等线" w:hAnsi="Arial" w:cs="Calibri" w:hint="eastAsia"/>
          <w:b/>
          <w:kern w:val="0"/>
          <w:sz w:val="20"/>
          <w:szCs w:val="20"/>
          <w:lang w:eastAsia="zh-CN"/>
          <w14:ligatures w14:val="none"/>
        </w:rPr>
      </w:pPr>
    </w:p>
    <w:p w14:paraId="71BB39DD" w14:textId="1520B359" w:rsidR="004622A1" w:rsidRPr="00497276" w:rsidRDefault="00C315D2" w:rsidP="00C315D2">
      <w:pPr>
        <w:spacing w:after="0" w:line="240" w:lineRule="auto"/>
        <w:jc w:val="both"/>
        <w:rPr>
          <w:rFonts w:ascii="Arial" w:eastAsia="等线" w:hAnsi="Arial" w:cs="Calibri" w:hint="eastAsia"/>
          <w:kern w:val="0"/>
          <w:sz w:val="20"/>
          <w:szCs w:val="20"/>
          <w:lang w:val="en-GB" w:eastAsia="zh-CN"/>
          <w14:ligatures w14:val="none"/>
        </w:rPr>
      </w:pPr>
      <w:r w:rsidRPr="2021B9E9">
        <w:rPr>
          <w:rFonts w:ascii="Arial" w:eastAsia="Calibri" w:hAnsi="Arial" w:cs="Calibri"/>
          <w:b/>
          <w:bCs/>
          <w:kern w:val="0"/>
          <w:sz w:val="20"/>
          <w:szCs w:val="20"/>
          <w:lang w:val="en-GB"/>
          <w14:ligatures w14:val="none"/>
        </w:rPr>
        <w:t xml:space="preserve">Figure 1. </w:t>
      </w:r>
      <w:r w:rsidR="004622A1" w:rsidRPr="004622A1">
        <w:rPr>
          <w:rFonts w:ascii="Arial" w:eastAsia="Calibri" w:hAnsi="Arial" w:cs="Calibri"/>
          <w:kern w:val="0"/>
          <w:sz w:val="20"/>
          <w:szCs w:val="20"/>
          <w:lang w:val="en-GB"/>
          <w14:ligatures w14:val="none"/>
        </w:rPr>
        <w:t>Graphic Abstract</w:t>
      </w:r>
      <w:r w:rsidR="00497276">
        <w:rPr>
          <w:rFonts w:ascii="Arial" w:eastAsia="等线" w:hAnsi="Arial" w:cs="Calibri" w:hint="eastAsia"/>
          <w:kern w:val="0"/>
          <w:sz w:val="20"/>
          <w:szCs w:val="20"/>
          <w:lang w:val="en-GB" w:eastAsia="zh-CN"/>
          <w14:ligatures w14:val="none"/>
        </w:rPr>
        <w:t xml:space="preserve">                                     </w:t>
      </w:r>
    </w:p>
    <w:p w14:paraId="43CB582C" w14:textId="77777777" w:rsidR="004622A1" w:rsidRPr="004622A1" w:rsidRDefault="004622A1" w:rsidP="00C315D2">
      <w:pPr>
        <w:spacing w:after="0" w:line="240" w:lineRule="auto"/>
        <w:jc w:val="both"/>
        <w:rPr>
          <w:rFonts w:ascii="Arial" w:eastAsia="等线" w:hAnsi="Arial" w:cs="Calibri" w:hint="eastAsia"/>
          <w:kern w:val="0"/>
          <w:sz w:val="20"/>
          <w:szCs w:val="20"/>
          <w:lang w:val="en-GB" w:eastAsia="zh-CN"/>
          <w14:ligatures w14:val="none"/>
        </w:rPr>
      </w:pPr>
    </w:p>
    <w:p w14:paraId="65E846CD" w14:textId="6BA78545" w:rsidR="00C315D2" w:rsidRPr="00C315D2" w:rsidRDefault="00B8473A" w:rsidP="00C315D2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</w:pPr>
      <w:r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Conclusion/</w:t>
      </w:r>
      <w:r w:rsidR="00C315D2"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Discussion.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497276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>Collectively</w:t>
      </w:r>
      <w:r w:rsidR="00497276" w:rsidRPr="00497276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>, our study pre-clinically demonstrated that RVG-miR21-sEVs can target transfer miR-21-5p to neurons and suppress autophagy by regulating PTEN/Akt/mTOR axis, consequently recovering neuron survival and neurological function of ischemic stroke mice.</w:t>
      </w:r>
    </w:p>
    <w:p w14:paraId="1AF10CAD" w14:textId="77777777" w:rsidR="00C315D2" w:rsidRPr="00C315D2" w:rsidRDefault="00C315D2" w:rsidP="00C315D2">
      <w:pPr>
        <w:spacing w:after="0" w:line="240" w:lineRule="auto"/>
        <w:jc w:val="both"/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</w:pPr>
    </w:p>
    <w:p w14:paraId="7D6E388F" w14:textId="0FDCF2BD" w:rsidR="00113BB7" w:rsidRPr="00497276" w:rsidRDefault="00C315D2" w:rsidP="00497276">
      <w:pPr>
        <w:spacing w:after="0" w:line="240" w:lineRule="auto"/>
        <w:jc w:val="both"/>
        <w:rPr>
          <w:rFonts w:ascii="Arial" w:eastAsia="等线" w:hAnsi="Arial" w:cs="Calibri" w:hint="eastAsia"/>
          <w:bCs/>
          <w:kern w:val="0"/>
          <w:sz w:val="20"/>
          <w:szCs w:val="20"/>
          <w:lang w:val="en-US" w:eastAsia="zh-CN"/>
          <w14:ligatures w14:val="none"/>
        </w:rPr>
      </w:pPr>
      <w:r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References: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497276" w:rsidRPr="0049727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This work is supported by the Guangdong Natural Science Fund (General Programme, no. 2023A1515010034), and </w:t>
      </w:r>
      <w:r w:rsidR="0049727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the</w:t>
      </w:r>
      <w:r w:rsidR="00497276" w:rsidRPr="00497276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Science and Technology Development Fund (FDCT), Macau SAR (Reference No. 0065/2023/RIB3).</w:t>
      </w:r>
    </w:p>
    <w:sectPr w:rsidR="00113BB7" w:rsidRPr="004972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795CCE"/>
    <w:multiLevelType w:val="hybridMultilevel"/>
    <w:tmpl w:val="06A68968"/>
    <w:lvl w:ilvl="0" w:tplc="54F4831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885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5D2"/>
    <w:rsid w:val="000A1423"/>
    <w:rsid w:val="00107368"/>
    <w:rsid w:val="00113BB7"/>
    <w:rsid w:val="00151B49"/>
    <w:rsid w:val="002017E6"/>
    <w:rsid w:val="00294059"/>
    <w:rsid w:val="00296976"/>
    <w:rsid w:val="003206E4"/>
    <w:rsid w:val="00383479"/>
    <w:rsid w:val="003A6D5C"/>
    <w:rsid w:val="003B1026"/>
    <w:rsid w:val="004622A1"/>
    <w:rsid w:val="00497276"/>
    <w:rsid w:val="004A51B6"/>
    <w:rsid w:val="00510CF8"/>
    <w:rsid w:val="00575A29"/>
    <w:rsid w:val="00601754"/>
    <w:rsid w:val="006A34BE"/>
    <w:rsid w:val="006F3F1C"/>
    <w:rsid w:val="007141F2"/>
    <w:rsid w:val="007561D8"/>
    <w:rsid w:val="00765AAE"/>
    <w:rsid w:val="00767868"/>
    <w:rsid w:val="00795378"/>
    <w:rsid w:val="00796206"/>
    <w:rsid w:val="007C367E"/>
    <w:rsid w:val="008071C5"/>
    <w:rsid w:val="00876969"/>
    <w:rsid w:val="00906D34"/>
    <w:rsid w:val="00933DC9"/>
    <w:rsid w:val="00936D4C"/>
    <w:rsid w:val="009523F9"/>
    <w:rsid w:val="009650DF"/>
    <w:rsid w:val="009B1CBB"/>
    <w:rsid w:val="00A0516D"/>
    <w:rsid w:val="00B4721D"/>
    <w:rsid w:val="00B50116"/>
    <w:rsid w:val="00B8473A"/>
    <w:rsid w:val="00C21815"/>
    <w:rsid w:val="00C315D2"/>
    <w:rsid w:val="00C353D8"/>
    <w:rsid w:val="00CF5A91"/>
    <w:rsid w:val="00D02BB1"/>
    <w:rsid w:val="00D45A74"/>
    <w:rsid w:val="00D7428F"/>
    <w:rsid w:val="00DF7A76"/>
    <w:rsid w:val="00EC3746"/>
    <w:rsid w:val="00F539FB"/>
    <w:rsid w:val="00F85528"/>
    <w:rsid w:val="2021B9E9"/>
    <w:rsid w:val="4FE71DF4"/>
    <w:rsid w:val="5E2C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9E18DD"/>
  <w14:defaultImageDpi w14:val="32767"/>
  <w15:chartTrackingRefBased/>
  <w15:docId w15:val="{68CD8C6C-48B5-45FC-AC27-B37918D87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宋体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15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5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15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15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15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15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15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15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15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315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C315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C315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315D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C315D2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C315D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C315D2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315D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C315D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315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315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315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315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315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315D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315D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315D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315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315D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315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84e3ec-4587-4418-b23a-bd5009477010">
      <Terms xmlns="http://schemas.microsoft.com/office/infopath/2007/PartnerControls"/>
    </lcf76f155ced4ddcb4097134ff3c332f>
    <TaxCatchAll xmlns="79faf93c-7b46-4b26-8966-6d698e8b406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C054142C5B5D4B8C99E9FB10779CAB" ma:contentTypeVersion="18" ma:contentTypeDescription="Create a new document." ma:contentTypeScope="" ma:versionID="82fa6b8bbe5aa1e5a147898ce11eee45">
  <xsd:schema xmlns:xsd="http://www.w3.org/2001/XMLSchema" xmlns:xs="http://www.w3.org/2001/XMLSchema" xmlns:p="http://schemas.microsoft.com/office/2006/metadata/properties" xmlns:ns2="4a84e3ec-4587-4418-b23a-bd5009477010" xmlns:ns3="79faf93c-7b46-4b26-8966-6d698e8b4062" targetNamespace="http://schemas.microsoft.com/office/2006/metadata/properties" ma:root="true" ma:fieldsID="4aa8403be6c3a7d49ea4b008b126b62c" ns2:_="" ns3:_="">
    <xsd:import namespace="4a84e3ec-4587-4418-b23a-bd5009477010"/>
    <xsd:import namespace="79faf93c-7b46-4b26-8966-6d698e8b40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4e3ec-4587-4418-b23a-bd50094770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d0f5a8-1cae-497c-8626-323dd4f94b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af93c-7b46-4b26-8966-6d698e8b40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2c48bb7-3aca-46f5-8d8e-a282f3998c12}" ma:internalName="TaxCatchAll" ma:showField="CatchAllData" ma:web="79faf93c-7b46-4b26-8966-6d698e8b4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DDCDBB-A434-4396-8F0D-5A6A543FC4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0FB8FF-F624-4CD8-B1B7-331FFFAAAFAC}">
  <ds:schemaRefs>
    <ds:schemaRef ds:uri="http://schemas.microsoft.com/office/2006/metadata/properties"/>
    <ds:schemaRef ds:uri="http://schemas.microsoft.com/office/infopath/2007/PartnerControls"/>
    <ds:schemaRef ds:uri="4a84e3ec-4587-4418-b23a-bd5009477010"/>
    <ds:schemaRef ds:uri="79faf93c-7b46-4b26-8966-6d698e8b4062"/>
  </ds:schemaRefs>
</ds:datastoreItem>
</file>

<file path=customXml/itemProps3.xml><?xml version="1.0" encoding="utf-8"?>
<ds:datastoreItem xmlns:ds="http://schemas.openxmlformats.org/officeDocument/2006/customXml" ds:itemID="{3C4A3A71-59EB-4D37-B60C-752E21A3FD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84e3ec-4587-4418-b23a-bd5009477010"/>
    <ds:schemaRef ds:uri="79faf93c-7b46-4b26-8966-6d698e8b40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460</Words>
  <Characters>3050</Characters>
  <Application>Microsoft Office Word</Application>
  <DocSecurity>0</DocSecurity>
  <Lines>50</Lines>
  <Paragraphs>12</Paragraphs>
  <ScaleCrop>false</ScaleCrop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Phan</dc:creator>
  <cp:keywords/>
  <dc:description/>
  <cp:lastModifiedBy>Li Yiyang</cp:lastModifiedBy>
  <cp:revision>6</cp:revision>
  <dcterms:created xsi:type="dcterms:W3CDTF">2025-03-11T02:17:00Z</dcterms:created>
  <dcterms:modified xsi:type="dcterms:W3CDTF">2025-07-23T11:38:00Z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0x01010004C054142C5B5D4B8C99E9FB10779CAB</vt:lpwstr>
  </property>
  <property fmtid="{D5CDD505-2E9C-101B-9397-08002B2CF9AE}" pid="3" name="MediaServiceImageTags">
    <vt:lpwstr/>
  </property>
  <property fmtid="{D5CDD505-2E9C-101B-9397-08002B2CF9AE}" pid="4" name="GrammarlyDocumentId">
    <vt:lpwstr>ac1765d0-562e-4a16-8aee-1ce2da1fa681</vt:lpwstr>
  </property>
</Properties>
</file>