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DD5EC" w14:textId="7B359F11" w:rsidR="00DA5B1F" w:rsidRPr="00977E89" w:rsidRDefault="00645EB9" w:rsidP="00DA5B1F">
      <w:pPr>
        <w:pStyle w:val="Title2"/>
        <w:jc w:val="center"/>
        <w:rPr>
          <w:rFonts w:asciiTheme="minorHAnsi" w:hAnsiTheme="minorHAnsi"/>
          <w:b w:val="0"/>
          <w:sz w:val="28"/>
          <w:szCs w:val="28"/>
        </w:rPr>
      </w:pPr>
      <w:bookmarkStart w:id="0" w:name="_GoBack"/>
      <w:r w:rsidRPr="00977E89">
        <w:rPr>
          <w:rFonts w:asciiTheme="minorHAnsi" w:hAnsiTheme="minorHAnsi"/>
          <w:sz w:val="28"/>
          <w:szCs w:val="28"/>
        </w:rPr>
        <w:t xml:space="preserve">With Polymer </w:t>
      </w:r>
      <w:proofErr w:type="spellStart"/>
      <w:r w:rsidRPr="00977E89">
        <w:rPr>
          <w:rFonts w:asciiTheme="minorHAnsi" w:hAnsiTheme="minorHAnsi"/>
          <w:sz w:val="28"/>
          <w:szCs w:val="28"/>
        </w:rPr>
        <w:t>Photoclicks</w:t>
      </w:r>
      <w:proofErr w:type="spellEnd"/>
      <w:r w:rsidRPr="00977E89">
        <w:rPr>
          <w:rFonts w:asciiTheme="minorHAnsi" w:hAnsiTheme="minorHAnsi"/>
          <w:sz w:val="28"/>
          <w:szCs w:val="28"/>
        </w:rPr>
        <w:t xml:space="preserve"> to Fluorescent Microspheres</w:t>
      </w:r>
    </w:p>
    <w:bookmarkEnd w:id="0"/>
    <w:p w14:paraId="57C45AC5" w14:textId="77777777" w:rsidR="00DF1C8E" w:rsidRPr="00DA5B1F" w:rsidRDefault="00DF1C8E" w:rsidP="009A4CFF">
      <w:pPr>
        <w:ind w:left="284" w:right="282"/>
        <w:jc w:val="both"/>
        <w:rPr>
          <w:rFonts w:ascii="Calibri" w:hAnsi="Calibri" w:cs="Calibri"/>
          <w:sz w:val="20"/>
          <w:szCs w:val="20"/>
        </w:rPr>
      </w:pPr>
    </w:p>
    <w:p w14:paraId="22DB1634" w14:textId="5BF56B81" w:rsidR="00DF1C8E" w:rsidRPr="00DA5B1F" w:rsidRDefault="00645EB9" w:rsidP="00DA5B1F">
      <w:pPr>
        <w:ind w:left="284" w:right="282"/>
        <w:jc w:val="center"/>
        <w:rPr>
          <w:rFonts w:ascii="Calibri" w:hAnsi="Calibri" w:cs="Calibri"/>
          <w:i/>
        </w:rPr>
      </w:pPr>
      <w:r>
        <w:rPr>
          <w:rFonts w:ascii="Calibri" w:hAnsi="Calibri" w:cs="Calibri"/>
          <w:i/>
        </w:rPr>
        <w:t>Jordan P. Hooker</w:t>
      </w:r>
      <w:r w:rsidR="00DA5B1F" w:rsidRPr="00DA5B1F">
        <w:rPr>
          <w:rFonts w:ascii="Calibri" w:hAnsi="Calibri" w:cs="Calibri"/>
          <w:i/>
        </w:rPr>
        <w:t xml:space="preserve">, Laura </w:t>
      </w:r>
      <w:proofErr w:type="spellStart"/>
      <w:r w:rsidR="00DA5B1F" w:rsidRPr="00DA5B1F">
        <w:rPr>
          <w:rFonts w:ascii="Calibri" w:hAnsi="Calibri" w:cs="Calibri"/>
          <w:i/>
        </w:rPr>
        <w:t>D</w:t>
      </w:r>
      <w:r w:rsidR="00DA5B1F">
        <w:rPr>
          <w:rFonts w:ascii="Calibri" w:hAnsi="Calibri" w:cs="Calibri"/>
          <w:i/>
        </w:rPr>
        <w:t>elafresnaye</w:t>
      </w:r>
      <w:proofErr w:type="spellEnd"/>
      <w:r w:rsidR="00DA5B1F">
        <w:rPr>
          <w:rFonts w:ascii="Calibri" w:hAnsi="Calibri" w:cs="Calibri"/>
          <w:i/>
        </w:rPr>
        <w:t>,</w:t>
      </w:r>
      <w:r w:rsidR="00DA5B1F" w:rsidRPr="00DA5B1F">
        <w:rPr>
          <w:rFonts w:ascii="Calibri" w:hAnsi="Calibri" w:cs="Calibri"/>
          <w:i/>
        </w:rPr>
        <w:t xml:space="preserve"> Christopher </w:t>
      </w:r>
      <w:r w:rsidR="00DA5B1F">
        <w:rPr>
          <w:rFonts w:ascii="Calibri" w:hAnsi="Calibri" w:cs="Calibri"/>
          <w:i/>
        </w:rPr>
        <w:t>Barner-</w:t>
      </w:r>
      <w:proofErr w:type="spellStart"/>
      <w:r w:rsidR="00DA5B1F">
        <w:rPr>
          <w:rFonts w:ascii="Calibri" w:hAnsi="Calibri" w:cs="Calibri"/>
          <w:i/>
        </w:rPr>
        <w:t>Kowollik</w:t>
      </w:r>
      <w:proofErr w:type="spellEnd"/>
      <w:r w:rsidR="00DA5B1F">
        <w:rPr>
          <w:rFonts w:ascii="Calibri" w:hAnsi="Calibri" w:cs="Calibri"/>
          <w:i/>
        </w:rPr>
        <w:t>, and Leonie Barner</w:t>
      </w:r>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49EF8C2D" w14:textId="310B146D" w:rsidR="00711813" w:rsidRPr="006B3866" w:rsidRDefault="00DA5B1F" w:rsidP="00DA5B1F">
      <w:pPr>
        <w:ind w:left="284" w:right="282"/>
        <w:jc w:val="center"/>
        <w:rPr>
          <w:rFonts w:ascii="Calibri" w:hAnsi="Calibri" w:cs="Calibri"/>
          <w:sz w:val="22"/>
          <w:szCs w:val="22"/>
          <w:lang w:val="en-AU"/>
        </w:rPr>
      </w:pPr>
      <w:r w:rsidRPr="00DA5B1F">
        <w:rPr>
          <w:rFonts w:ascii="Calibri" w:hAnsi="Calibri" w:cs="Calibri"/>
          <w:sz w:val="22"/>
          <w:szCs w:val="22"/>
          <w:lang w:val="en-AU"/>
        </w:rPr>
        <w:t xml:space="preserve">School of Chemistry </w:t>
      </w:r>
      <w:r>
        <w:rPr>
          <w:rFonts w:ascii="Calibri" w:hAnsi="Calibri" w:cs="Calibri"/>
          <w:sz w:val="22"/>
          <w:szCs w:val="22"/>
          <w:lang w:val="en-AU"/>
        </w:rPr>
        <w:t xml:space="preserve">and </w:t>
      </w:r>
      <w:r w:rsidRPr="00DA5B1F">
        <w:rPr>
          <w:rFonts w:ascii="Calibri" w:hAnsi="Calibri" w:cs="Calibri"/>
          <w:sz w:val="22"/>
          <w:szCs w:val="22"/>
          <w:lang w:val="en-AU"/>
        </w:rPr>
        <w:t>Ph</w:t>
      </w:r>
      <w:r>
        <w:rPr>
          <w:rFonts w:ascii="Calibri" w:hAnsi="Calibri" w:cs="Calibri"/>
          <w:sz w:val="22"/>
          <w:szCs w:val="22"/>
          <w:lang w:val="en-AU"/>
        </w:rPr>
        <w:t xml:space="preserve">ysics, Institute for Future </w:t>
      </w:r>
      <w:r w:rsidRPr="00DA5B1F">
        <w:rPr>
          <w:rFonts w:ascii="Calibri" w:hAnsi="Calibri" w:cs="Calibri"/>
          <w:sz w:val="22"/>
          <w:szCs w:val="22"/>
          <w:lang w:val="en-AU"/>
        </w:rPr>
        <w:t>Environ</w:t>
      </w:r>
      <w:r>
        <w:rPr>
          <w:rFonts w:ascii="Calibri" w:hAnsi="Calibri" w:cs="Calibri"/>
          <w:sz w:val="22"/>
          <w:szCs w:val="22"/>
          <w:lang w:val="en-AU"/>
        </w:rPr>
        <w:t xml:space="preserve">ments, Queensland University of </w:t>
      </w:r>
      <w:r w:rsidRPr="00DA5B1F">
        <w:rPr>
          <w:rFonts w:ascii="Calibri" w:hAnsi="Calibri" w:cs="Calibri"/>
          <w:sz w:val="22"/>
          <w:szCs w:val="22"/>
          <w:lang w:val="en-AU"/>
        </w:rPr>
        <w:t>Tec</w:t>
      </w:r>
      <w:r>
        <w:rPr>
          <w:rFonts w:ascii="Calibri" w:hAnsi="Calibri" w:cs="Calibri"/>
          <w:sz w:val="22"/>
          <w:szCs w:val="22"/>
          <w:lang w:val="en-AU"/>
        </w:rPr>
        <w:t xml:space="preserve">hnology (QUT), 2 George Street, </w:t>
      </w:r>
      <w:r w:rsidRPr="00DA5B1F">
        <w:rPr>
          <w:rFonts w:ascii="Calibri" w:hAnsi="Calibri" w:cs="Calibri"/>
          <w:sz w:val="22"/>
          <w:szCs w:val="22"/>
          <w:lang w:val="en-AU"/>
        </w:rPr>
        <w:t>QLD 4000, Brisbane, Australia</w:t>
      </w: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02643439" w14:textId="237697A2" w:rsidR="00045573" w:rsidRDefault="00711813" w:rsidP="00F713EF">
      <w:pPr>
        <w:ind w:left="284" w:right="282"/>
        <w:jc w:val="both"/>
        <w:rPr>
          <w:rFonts w:ascii="Calibri" w:hAnsi="Calibri" w:cs="Calibri"/>
          <w:sz w:val="22"/>
          <w:szCs w:val="22"/>
          <w:lang w:val="en-AU"/>
        </w:rPr>
      </w:pPr>
      <w:r w:rsidRPr="00447188">
        <w:rPr>
          <w:rFonts w:ascii="Calibri" w:hAnsi="Calibri" w:cs="Calibri"/>
          <w:b/>
          <w:bCs/>
          <w:sz w:val="22"/>
          <w:szCs w:val="22"/>
          <w:lang w:val="en-AU"/>
        </w:rPr>
        <w:t>Introduction</w:t>
      </w:r>
      <w:r w:rsidR="00447188">
        <w:rPr>
          <w:rFonts w:ascii="Calibri" w:hAnsi="Calibri" w:cs="Calibri"/>
          <w:sz w:val="22"/>
          <w:szCs w:val="22"/>
          <w:lang w:val="en-AU"/>
        </w:rPr>
        <w:t xml:space="preserve"> </w:t>
      </w:r>
      <w:r w:rsidR="00BA7179" w:rsidRPr="00BA7179">
        <w:rPr>
          <w:rFonts w:ascii="Calibri" w:hAnsi="Calibri" w:cs="Calibri"/>
          <w:sz w:val="22"/>
          <w:szCs w:val="22"/>
          <w:lang w:val="en-AU"/>
        </w:rPr>
        <w:t>Polymer microspheres are an important and ubiquitous class of m</w:t>
      </w:r>
      <w:r w:rsidR="00BA7179">
        <w:rPr>
          <w:rFonts w:ascii="Calibri" w:hAnsi="Calibri" w:cs="Calibri"/>
          <w:sz w:val="22"/>
          <w:szCs w:val="22"/>
          <w:lang w:val="en-AU"/>
        </w:rPr>
        <w:t>aterials</w:t>
      </w:r>
      <w:r w:rsidR="00BA7179" w:rsidRPr="00BA7179">
        <w:t xml:space="preserve"> </w:t>
      </w:r>
      <w:r w:rsidR="00BA7179">
        <w:rPr>
          <w:rFonts w:ascii="Calibri" w:hAnsi="Calibri" w:cs="Calibri"/>
          <w:sz w:val="22"/>
          <w:szCs w:val="22"/>
          <w:lang w:val="en-AU"/>
        </w:rPr>
        <w:t>based on characteristics such as</w:t>
      </w:r>
      <w:r w:rsidR="00BA7179" w:rsidRPr="00BA7179">
        <w:rPr>
          <w:rFonts w:ascii="Calibri" w:hAnsi="Calibri" w:cs="Calibri"/>
          <w:sz w:val="22"/>
          <w:szCs w:val="22"/>
          <w:lang w:val="en-AU"/>
        </w:rPr>
        <w:t xml:space="preserve"> a small size and volume, high diffusivity and mobility, and a large specific surface area.</w:t>
      </w:r>
      <w:r w:rsidR="00BA7179">
        <w:rPr>
          <w:rFonts w:ascii="Calibri" w:hAnsi="Calibri" w:cs="Calibri"/>
          <w:sz w:val="22"/>
          <w:szCs w:val="22"/>
          <w:lang w:val="en-AU"/>
        </w:rPr>
        <w:t xml:space="preserve"> W</w:t>
      </w:r>
      <w:r w:rsidR="00BA7179" w:rsidRPr="00BA7179">
        <w:rPr>
          <w:rFonts w:ascii="Calibri" w:hAnsi="Calibri" w:cs="Calibri"/>
          <w:sz w:val="22"/>
          <w:szCs w:val="22"/>
          <w:lang w:val="en-AU"/>
        </w:rPr>
        <w:t>e introduce a new class of functional, fluorescent polymer microspheres using a highly efficient, additive-free ph</w:t>
      </w:r>
      <w:r w:rsidR="00F713EF">
        <w:rPr>
          <w:rFonts w:ascii="Calibri" w:hAnsi="Calibri" w:cs="Calibri"/>
          <w:sz w:val="22"/>
          <w:szCs w:val="22"/>
          <w:lang w:val="en-AU"/>
        </w:rPr>
        <w:t>otochemical ligation technique.</w:t>
      </w:r>
    </w:p>
    <w:p w14:paraId="358B4525" w14:textId="77777777" w:rsidR="00F713EF" w:rsidRPr="006B3866" w:rsidRDefault="00F713EF" w:rsidP="00F713EF">
      <w:pPr>
        <w:ind w:left="284" w:right="282"/>
        <w:jc w:val="both"/>
        <w:rPr>
          <w:rFonts w:ascii="Calibri" w:hAnsi="Calibri" w:cs="Calibri"/>
          <w:sz w:val="22"/>
          <w:szCs w:val="22"/>
          <w:lang w:val="en-AU"/>
        </w:rPr>
      </w:pPr>
    </w:p>
    <w:p w14:paraId="3AD4BDCD" w14:textId="2CDB4BA4" w:rsidR="00645EB9" w:rsidRDefault="00217D22" w:rsidP="00BA7179">
      <w:pPr>
        <w:ind w:left="284" w:right="282"/>
        <w:jc w:val="both"/>
        <w:rPr>
          <w:rFonts w:ascii="Calibri" w:hAnsi="Calibri" w:cs="Calibri"/>
          <w:bCs/>
          <w:sz w:val="22"/>
          <w:szCs w:val="22"/>
          <w:lang w:val="en-AU"/>
        </w:rPr>
      </w:pPr>
      <w:r w:rsidRPr="00EB67F8">
        <w:rPr>
          <w:rFonts w:ascii="Calibri" w:hAnsi="Calibri" w:cs="Calibri"/>
          <w:bCs/>
          <w:noProof/>
          <w:sz w:val="22"/>
          <w:szCs w:val="22"/>
          <w:lang w:val="en-AU" w:eastAsia="en-AU"/>
        </w:rPr>
        <mc:AlternateContent>
          <mc:Choice Requires="wps">
            <w:drawing>
              <wp:anchor distT="45720" distB="45720" distL="114300" distR="114300" simplePos="0" relativeHeight="251661312" behindDoc="0" locked="0" layoutInCell="1" allowOverlap="1" wp14:anchorId="02B7A917" wp14:editId="01E415AD">
                <wp:simplePos x="0" y="0"/>
                <wp:positionH relativeFrom="column">
                  <wp:posOffset>238125</wp:posOffset>
                </wp:positionH>
                <wp:positionV relativeFrom="paragraph">
                  <wp:posOffset>617220</wp:posOffset>
                </wp:positionV>
                <wp:extent cx="3056400" cy="1188000"/>
                <wp:effectExtent l="0" t="0" r="19050" b="1841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400" cy="1188000"/>
                        </a:xfrm>
                        <a:prstGeom prst="rect">
                          <a:avLst/>
                        </a:prstGeom>
                        <a:solidFill>
                          <a:srgbClr val="FFFFFF"/>
                        </a:solidFill>
                        <a:ln w="9525">
                          <a:solidFill>
                            <a:schemeClr val="bg1"/>
                          </a:solidFill>
                          <a:miter lim="800000"/>
                          <a:headEnd/>
                          <a:tailEnd/>
                        </a:ln>
                      </wps:spPr>
                      <wps:txbx>
                        <w:txbxContent>
                          <w:p w14:paraId="19ED3292" w14:textId="3C895BB8" w:rsidR="00EB67F8" w:rsidRPr="00F713EF" w:rsidRDefault="00EB67F8">
                            <w:pPr>
                              <w:rPr>
                                <w:color w:val="FFFFFF" w:themeColor="background1"/>
                                <w14:textFill>
                                  <w14:noFill/>
                                </w14:textFill>
                              </w:rPr>
                            </w:pPr>
                            <w:r w:rsidRPr="00F713EF">
                              <w:rPr>
                                <w:noProof/>
                                <w:color w:val="FFFFFF" w:themeColor="background1"/>
                                <w14:textFill>
                                  <w14:noFill/>
                                </w14:textFill>
                              </w:rPr>
                              <w:drawing>
                                <wp:inline distT="0" distB="0" distL="0" distR="0" wp14:anchorId="1DAE5B91" wp14:editId="4685D5CD">
                                  <wp:extent cx="2901950" cy="108893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1950" cy="10889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B7A917" id="_x0000_t202" coordsize="21600,21600" o:spt="202" path="m,l,21600r21600,l21600,xe">
                <v:stroke joinstyle="miter"/>
                <v:path gradientshapeok="t" o:connecttype="rect"/>
              </v:shapetype>
              <v:shape id="Text Box 2" o:spid="_x0000_s1026" type="#_x0000_t202" style="position:absolute;left:0;text-align:left;margin-left:18.75pt;margin-top:48.6pt;width:240.65pt;height:93.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" strokecolor="white [3212]">
                <v:textbox>
                  <w:txbxContent>
                    <w:p w14:paraId="19ED3292" w14:textId="3C895BB8" w:rsidR="00EB67F8" w:rsidRPr="00F713EF" w:rsidRDefault="00EB67F8">
                      <w:pPr>
                        <w:rPr>
                          <w:color w:val="FFFFFF" w:themeColor="background1"/>
                          <w14:textFill>
                            <w14:noFill/>
                          </w14:textFill>
                        </w:rPr>
                      </w:pPr>
                      <w:r w:rsidRPr="00F713EF">
                        <w:rPr>
                          <w:noProof/>
                          <w:color w:val="FFFFFF" w:themeColor="background1"/>
                          <w14:textFill>
                            <w14:noFill/>
                          </w14:textFill>
                        </w:rPr>
                        <w:drawing>
                          <wp:inline distT="0" distB="0" distL="0" distR="0" wp14:anchorId="1DAE5B91" wp14:editId="4685D5CD">
                            <wp:extent cx="2901950" cy="108893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1950" cy="1088933"/>
                                    </a:xfrm>
                                    <a:prstGeom prst="rect">
                                      <a:avLst/>
                                    </a:prstGeom>
                                    <a:noFill/>
                                    <a:ln>
                                      <a:noFill/>
                                    </a:ln>
                                  </pic:spPr>
                                </pic:pic>
                              </a:graphicData>
                            </a:graphic>
                          </wp:inline>
                        </w:drawing>
                      </w:r>
                    </w:p>
                  </w:txbxContent>
                </v:textbox>
                <w10:wrap type="square"/>
              </v:shape>
            </w:pict>
          </mc:Fallback>
        </mc:AlternateContent>
      </w:r>
      <w:r w:rsidR="00711813" w:rsidRPr="00BA7179">
        <w:rPr>
          <w:rFonts w:ascii="Calibri" w:hAnsi="Calibri" w:cs="Calibri"/>
          <w:b/>
          <w:bCs/>
          <w:sz w:val="22"/>
          <w:szCs w:val="22"/>
          <w:lang w:val="en-AU"/>
        </w:rPr>
        <w:t xml:space="preserve">Aims </w:t>
      </w:r>
      <w:r w:rsidR="00977E89">
        <w:rPr>
          <w:rFonts w:ascii="Calibri" w:hAnsi="Calibri" w:cs="Calibri"/>
          <w:bCs/>
          <w:sz w:val="22"/>
          <w:szCs w:val="22"/>
          <w:lang w:val="en-AU"/>
        </w:rPr>
        <w:t>T</w:t>
      </w:r>
      <w:r w:rsidR="00BA7179" w:rsidRPr="00BA7179">
        <w:rPr>
          <w:rFonts w:ascii="Calibri" w:hAnsi="Calibri" w:cs="Calibri"/>
          <w:bCs/>
          <w:sz w:val="22"/>
          <w:szCs w:val="22"/>
          <w:lang w:val="en-AU"/>
        </w:rPr>
        <w:t xml:space="preserve">he utilisation of pre-functionalised polymers for cross-linking under conditions analogous to precipitation polymerisation – a powerful technique for the preparation of stabiliser-free </w:t>
      </w:r>
      <w:r w:rsidR="00977E89">
        <w:rPr>
          <w:rFonts w:ascii="Calibri" w:hAnsi="Calibri" w:cs="Calibri"/>
          <w:bCs/>
          <w:sz w:val="22"/>
          <w:szCs w:val="22"/>
          <w:lang w:val="en-AU"/>
        </w:rPr>
        <w:t>microspheres – is demonstrated.</w:t>
      </w:r>
      <w:r w:rsidR="001F39A8" w:rsidRPr="001F39A8">
        <w:rPr>
          <w:rFonts w:ascii="Calibri" w:hAnsi="Calibri" w:cs="Calibri"/>
          <w:bCs/>
          <w:sz w:val="22"/>
          <w:szCs w:val="22"/>
          <w:vertAlign w:val="superscript"/>
          <w:lang w:val="en-AU"/>
        </w:rPr>
        <w:t>1</w:t>
      </w:r>
    </w:p>
    <w:p w14:paraId="3D0BD353" w14:textId="17A3E417" w:rsidR="00EF12F3" w:rsidRDefault="00EB67F8" w:rsidP="00F713EF">
      <w:pPr>
        <w:ind w:left="284" w:right="282"/>
        <w:jc w:val="both"/>
        <w:rPr>
          <w:rFonts w:ascii="Calibri" w:hAnsi="Calibri" w:cs="Calibri"/>
          <w:sz w:val="22"/>
          <w:szCs w:val="22"/>
          <w:lang w:val="en-AU"/>
        </w:rPr>
      </w:pPr>
      <w:r w:rsidRPr="00EB67F8">
        <w:rPr>
          <w:rFonts w:ascii="Calibri" w:hAnsi="Calibri" w:cs="Calibri"/>
          <w:b/>
          <w:bCs/>
          <w:noProof/>
          <w:sz w:val="22"/>
          <w:szCs w:val="22"/>
          <w:lang w:val="en-AU" w:eastAsia="en-AU"/>
        </w:rPr>
        <mc:AlternateContent>
          <mc:Choice Requires="wps">
            <w:drawing>
              <wp:anchor distT="45720" distB="45720" distL="114300" distR="114300" simplePos="0" relativeHeight="251659264" behindDoc="1" locked="0" layoutInCell="1" allowOverlap="1" wp14:anchorId="6E76E471" wp14:editId="71B03529">
                <wp:simplePos x="0" y="0"/>
                <wp:positionH relativeFrom="column">
                  <wp:posOffset>3474085</wp:posOffset>
                </wp:positionH>
                <wp:positionV relativeFrom="paragraph">
                  <wp:posOffset>72390</wp:posOffset>
                </wp:positionV>
                <wp:extent cx="2360930" cy="1404620"/>
                <wp:effectExtent l="0" t="0" r="17780" b="13970"/>
                <wp:wrapTight wrapText="bothSides">
                  <wp:wrapPolygon edited="0">
                    <wp:start x="0" y="0"/>
                    <wp:lineTo x="0" y="21565"/>
                    <wp:lineTo x="21571" y="21565"/>
                    <wp:lineTo x="2157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solidFill>
                            <a:schemeClr val="bg1"/>
                          </a:solidFill>
                          <a:miter lim="800000"/>
                          <a:headEnd/>
                          <a:tailEnd/>
                        </a:ln>
                      </wps:spPr>
                      <wps:txbx>
                        <w:txbxContent>
                          <w:p w14:paraId="143B633A" w14:textId="5A6F4E6C" w:rsidR="00EB67F8" w:rsidRPr="00F713EF" w:rsidRDefault="00EB67F8" w:rsidP="007F28E1">
                            <w:pPr>
                              <w:jc w:val="center"/>
                              <w:rPr>
                                <w:color w:val="FFFFFF" w:themeColor="background1"/>
                                <w14:textFill>
                                  <w14:noFill/>
                                </w14:textFill>
                              </w:rPr>
                            </w:pPr>
                            <w:r w:rsidRPr="00F713EF">
                              <w:rPr>
                                <w:noProof/>
                                <w:color w:val="FFFFFF" w:themeColor="background1"/>
                                <w14:textFill>
                                  <w14:noFill/>
                                </w14:textFill>
                              </w:rPr>
                              <w:drawing>
                                <wp:inline distT="0" distB="0" distL="0" distR="0" wp14:anchorId="7ABC3EB6" wp14:editId="62012EC6">
                                  <wp:extent cx="1775460" cy="3009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5460" cy="30099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E76E471" id="_x0000_s1027" type="#_x0000_t202" style="position:absolute;left:0;text-align:left;margin-left:273.55pt;margin-top:5.7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" filled="f" strokecolor="white [3212]">
                <v:textbox style="mso-fit-shape-to-text:t">
                  <w:txbxContent>
                    <w:p w14:paraId="143B633A" w14:textId="5A6F4E6C" w:rsidR="00EB67F8" w:rsidRPr="00F713EF" w:rsidRDefault="00EB67F8" w:rsidP="007F28E1">
                      <w:pPr>
                        <w:jc w:val="center"/>
                        <w:rPr>
                          <w:color w:val="FFFFFF" w:themeColor="background1"/>
                          <w14:textFill>
                            <w14:noFill/>
                          </w14:textFill>
                        </w:rPr>
                      </w:pPr>
                      <w:r w:rsidRPr="00F713EF">
                        <w:rPr>
                          <w:noProof/>
                          <w:color w:val="FFFFFF" w:themeColor="background1"/>
                          <w14:textFill>
                            <w14:noFill/>
                          </w14:textFill>
                        </w:rPr>
                        <w:drawing>
                          <wp:inline distT="0" distB="0" distL="0" distR="0" wp14:anchorId="7ABC3EB6" wp14:editId="62012EC6">
                            <wp:extent cx="1775460" cy="3009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5460" cy="3009900"/>
                                    </a:xfrm>
                                    <a:prstGeom prst="rect">
                                      <a:avLst/>
                                    </a:prstGeom>
                                    <a:noFill/>
                                    <a:ln>
                                      <a:noFill/>
                                    </a:ln>
                                  </pic:spPr>
                                </pic:pic>
                              </a:graphicData>
                            </a:graphic>
                          </wp:inline>
                        </w:drawing>
                      </w:r>
                    </w:p>
                  </w:txbxContent>
                </v:textbox>
                <w10:wrap type="tight"/>
              </v:shape>
            </w:pict>
          </mc:Fallback>
        </mc:AlternateContent>
      </w:r>
      <w:r w:rsidR="00217D22" w:rsidRPr="00EB67F8">
        <w:rPr>
          <w:rFonts w:ascii="Calibri" w:hAnsi="Calibri" w:cs="Calibri"/>
          <w:b/>
          <w:bCs/>
          <w:sz w:val="22"/>
          <w:szCs w:val="22"/>
          <w:lang w:val="en-AU"/>
        </w:rPr>
        <w:t>Methods</w:t>
      </w:r>
      <w:r w:rsidR="00217D22">
        <w:rPr>
          <w:rFonts w:ascii="Calibri" w:hAnsi="Calibri" w:cs="Calibri"/>
          <w:b/>
          <w:bCs/>
          <w:sz w:val="22"/>
          <w:szCs w:val="22"/>
          <w:lang w:val="en-AU"/>
        </w:rPr>
        <w:t xml:space="preserve"> </w:t>
      </w:r>
      <w:r w:rsidR="00217D22" w:rsidRPr="00EB67F8">
        <w:rPr>
          <w:rFonts w:ascii="Calibri" w:hAnsi="Calibri" w:cs="Calibri"/>
          <w:sz w:val="22"/>
          <w:szCs w:val="22"/>
          <w:lang w:val="en-AU"/>
        </w:rPr>
        <w:t>We demonstrate that fluorescent, narrow-disperse microspheres are rapidly and readily prepared by photo-clicking pre-functionalised polymers using the highly efficient nitrile-imine mediated tetrazole-</w:t>
      </w:r>
      <w:proofErr w:type="spellStart"/>
      <w:r w:rsidR="00217D22" w:rsidRPr="00EB67F8">
        <w:rPr>
          <w:rFonts w:ascii="Calibri" w:hAnsi="Calibri" w:cs="Calibri"/>
          <w:sz w:val="22"/>
          <w:szCs w:val="22"/>
          <w:lang w:val="en-AU"/>
        </w:rPr>
        <w:t>ene</w:t>
      </w:r>
      <w:proofErr w:type="spellEnd"/>
      <w:r w:rsidR="00217D22" w:rsidRPr="00EB67F8">
        <w:rPr>
          <w:rFonts w:ascii="Calibri" w:hAnsi="Calibri" w:cs="Calibri"/>
          <w:sz w:val="22"/>
          <w:szCs w:val="22"/>
          <w:lang w:val="en-AU"/>
        </w:rPr>
        <w:t xml:space="preserve"> cycloaddition (NITEC) reaction. Our approach requires no stabilisers, bases or initiators, and proceeds under mild UV irradiation at ambient temperature.</w:t>
      </w:r>
      <w:r w:rsidR="00217D22">
        <w:rPr>
          <w:rFonts w:ascii="Calibri" w:hAnsi="Calibri" w:cs="Calibri"/>
          <w:sz w:val="22"/>
          <w:szCs w:val="22"/>
          <w:lang w:val="en-AU"/>
        </w:rPr>
        <w:t xml:space="preserve"> </w:t>
      </w:r>
      <w:r w:rsidR="00217D22">
        <w:rPr>
          <w:rFonts w:ascii="Calibri" w:eastAsia="Calibri" w:hAnsi="Calibri" w:cs="Arial"/>
          <w:sz w:val="22"/>
          <w:szCs w:val="22"/>
          <w:lang w:val="en-AU"/>
        </w:rPr>
        <w:t>First, p</w:t>
      </w:r>
      <w:r w:rsidR="00217D22" w:rsidRPr="00217D22">
        <w:rPr>
          <w:rFonts w:ascii="Calibri" w:eastAsia="Calibri" w:hAnsi="Calibri" w:cs="Arial"/>
          <w:sz w:val="22"/>
          <w:szCs w:val="22"/>
          <w:lang w:val="en-GB"/>
        </w:rPr>
        <w:t>recursor polymers were synthesised by nitroxide-mediated polymeri</w:t>
      </w:r>
      <w:r w:rsidR="00217D22">
        <w:rPr>
          <w:rFonts w:ascii="Calibri" w:eastAsia="Calibri" w:hAnsi="Calibri" w:cs="Arial"/>
          <w:sz w:val="22"/>
          <w:szCs w:val="22"/>
          <w:lang w:val="en-GB"/>
        </w:rPr>
        <w:t xml:space="preserve">sation (NMP) of styrene with </w:t>
      </w:r>
      <w:proofErr w:type="spellStart"/>
      <w:r w:rsidR="00217D22">
        <w:rPr>
          <w:rFonts w:ascii="Calibri" w:eastAsia="Calibri" w:hAnsi="Calibri" w:cs="Arial"/>
          <w:sz w:val="22"/>
          <w:szCs w:val="22"/>
          <w:lang w:val="en-GB"/>
        </w:rPr>
        <w:t>chloromethylstyrene</w:t>
      </w:r>
      <w:proofErr w:type="spellEnd"/>
      <w:r w:rsidR="00217D22" w:rsidRPr="00217D22">
        <w:rPr>
          <w:rFonts w:ascii="Calibri" w:eastAsia="Calibri" w:hAnsi="Calibri" w:cs="Arial"/>
          <w:sz w:val="22"/>
          <w:szCs w:val="22"/>
          <w:lang w:val="en-GB"/>
        </w:rPr>
        <w:t xml:space="preserve"> as a functional comonomer</w:t>
      </w:r>
      <w:r w:rsidR="00217D22">
        <w:rPr>
          <w:rFonts w:ascii="Calibri" w:eastAsia="Calibri" w:hAnsi="Calibri" w:cs="Arial"/>
          <w:sz w:val="22"/>
          <w:szCs w:val="22"/>
          <w:lang w:val="en-GB"/>
        </w:rPr>
        <w:t xml:space="preserve"> and subsequently </w:t>
      </w:r>
      <w:r w:rsidR="00217D22" w:rsidRPr="00217D22">
        <w:rPr>
          <w:rFonts w:ascii="Calibri" w:eastAsia="Calibri" w:hAnsi="Calibri" w:cs="Arial"/>
          <w:sz w:val="22"/>
          <w:szCs w:val="22"/>
          <w:lang w:val="en-GB"/>
        </w:rPr>
        <w:t>were separately functionalised with either cross-linkable tetrazole (Tet) (</w:t>
      </w:r>
      <w:r w:rsidR="00217D22">
        <w:rPr>
          <w:rFonts w:ascii="Calibri" w:eastAsia="Calibri" w:hAnsi="Calibri" w:cs="Arial"/>
          <w:b/>
          <w:i/>
          <w:sz w:val="22"/>
          <w:szCs w:val="22"/>
          <w:lang w:val="en-GB"/>
        </w:rPr>
        <w:t>P2</w:t>
      </w:r>
      <w:r w:rsidR="00217D22" w:rsidRPr="00217D22">
        <w:rPr>
          <w:rFonts w:ascii="Calibri" w:eastAsia="Calibri" w:hAnsi="Calibri" w:cs="Arial"/>
          <w:sz w:val="22"/>
          <w:szCs w:val="22"/>
          <w:lang w:val="en-GB"/>
        </w:rPr>
        <w:t>) or acrylate (</w:t>
      </w:r>
      <w:proofErr w:type="spellStart"/>
      <w:r w:rsidR="00217D22" w:rsidRPr="00217D22">
        <w:rPr>
          <w:rFonts w:ascii="Calibri" w:eastAsia="Calibri" w:hAnsi="Calibri" w:cs="Arial"/>
          <w:sz w:val="22"/>
          <w:szCs w:val="22"/>
          <w:lang w:val="en-GB"/>
        </w:rPr>
        <w:t>Acr</w:t>
      </w:r>
      <w:proofErr w:type="spellEnd"/>
      <w:r w:rsidR="00217D22" w:rsidRPr="00217D22">
        <w:rPr>
          <w:rFonts w:ascii="Calibri" w:eastAsia="Calibri" w:hAnsi="Calibri" w:cs="Arial"/>
          <w:sz w:val="22"/>
          <w:szCs w:val="22"/>
          <w:lang w:val="en-GB"/>
        </w:rPr>
        <w:t>) (</w:t>
      </w:r>
      <w:r w:rsidR="00217D22" w:rsidRPr="00217D22">
        <w:rPr>
          <w:rFonts w:ascii="Calibri" w:eastAsia="Calibri" w:hAnsi="Calibri" w:cs="Arial"/>
          <w:b/>
          <w:i/>
          <w:sz w:val="22"/>
          <w:szCs w:val="22"/>
          <w:lang w:val="en-GB"/>
        </w:rPr>
        <w:t>P3</w:t>
      </w:r>
      <w:r w:rsidR="00217D22" w:rsidRPr="00217D22">
        <w:rPr>
          <w:rFonts w:ascii="Calibri" w:eastAsia="Calibri" w:hAnsi="Calibri" w:cs="Arial"/>
          <w:sz w:val="22"/>
          <w:szCs w:val="22"/>
          <w:lang w:val="en-GB"/>
        </w:rPr>
        <w:t>) groups</w:t>
      </w:r>
      <w:r w:rsidR="00217D22">
        <w:rPr>
          <w:rFonts w:ascii="Calibri" w:hAnsi="Calibri" w:cs="Calibri"/>
          <w:b/>
          <w:bCs/>
          <w:sz w:val="22"/>
          <w:szCs w:val="22"/>
          <w:lang w:val="en-AU"/>
        </w:rPr>
        <w:t>.</w:t>
      </w:r>
      <w:r w:rsidR="00217D22" w:rsidRPr="00217D22">
        <w:rPr>
          <w:rFonts w:ascii="Calibri" w:hAnsi="Calibri" w:cs="Calibri"/>
          <w:bCs/>
          <w:sz w:val="22"/>
          <w:szCs w:val="22"/>
          <w:lang w:val="en-AU"/>
        </w:rPr>
        <w:t xml:space="preserve"> </w:t>
      </w:r>
      <w:r w:rsidR="00217D22" w:rsidRPr="00217D22">
        <w:rPr>
          <w:rFonts w:ascii="Calibri" w:eastAsia="Calibri" w:hAnsi="Calibri" w:cs="Arial"/>
          <w:sz w:val="22"/>
          <w:szCs w:val="22"/>
          <w:lang w:val="en-GB"/>
        </w:rPr>
        <w:t>The particle syntheses were performed by exposing the solubilized copolymers under UV-B light (λ = 300 nm) and gentle agitation. Within seconds, the clear solution turned bright yellow and the reaction was carried out for 30 or 120 min. Scanning electron microscopy (SEM) images of isolated particles showed that they are spherical and</w:t>
      </w:r>
      <w:r w:rsidR="008A6B1D">
        <w:rPr>
          <w:rFonts w:ascii="Calibri" w:eastAsia="Calibri" w:hAnsi="Calibri" w:cs="Arial"/>
          <w:sz w:val="22"/>
          <w:szCs w:val="22"/>
          <w:lang w:val="en-GB"/>
        </w:rPr>
        <w:t xml:space="preserve"> have</w:t>
      </w:r>
      <w:r w:rsidR="00217D22" w:rsidRPr="00217D22">
        <w:rPr>
          <w:rFonts w:ascii="Calibri" w:eastAsia="Calibri" w:hAnsi="Calibri" w:cs="Arial"/>
          <w:sz w:val="22"/>
          <w:szCs w:val="22"/>
          <w:lang w:val="en-GB"/>
        </w:rPr>
        <w:t xml:space="preserve"> a narrow size </w:t>
      </w:r>
      <w:r w:rsidR="008A6B1D">
        <w:rPr>
          <w:rFonts w:ascii="Calibri" w:eastAsia="Calibri" w:hAnsi="Calibri" w:cs="Arial"/>
          <w:sz w:val="22"/>
          <w:szCs w:val="22"/>
          <w:lang w:val="en-GB"/>
        </w:rPr>
        <w:t xml:space="preserve">dispersity. </w:t>
      </w:r>
      <w:r w:rsidRPr="00EB67F8">
        <w:rPr>
          <w:rFonts w:ascii="Calibri" w:hAnsi="Calibri" w:cs="Calibri"/>
          <w:sz w:val="22"/>
          <w:szCs w:val="22"/>
          <w:lang w:val="en-AU"/>
        </w:rPr>
        <w:t xml:space="preserve">The diameter of the microspheres can be tuned in the 0.25 – 0.75 </w:t>
      </w:r>
      <w:proofErr w:type="spellStart"/>
      <w:r w:rsidRPr="00EB67F8">
        <w:rPr>
          <w:rFonts w:ascii="Calibri" w:hAnsi="Calibri" w:cs="Calibri"/>
          <w:sz w:val="22"/>
          <w:szCs w:val="22"/>
          <w:lang w:val="en-AU"/>
        </w:rPr>
        <w:t>μm</w:t>
      </w:r>
      <w:proofErr w:type="spellEnd"/>
      <w:r w:rsidRPr="00EB67F8">
        <w:rPr>
          <w:rFonts w:ascii="Calibri" w:hAnsi="Calibri" w:cs="Calibri"/>
          <w:sz w:val="22"/>
          <w:szCs w:val="22"/>
          <w:lang w:val="en-AU"/>
        </w:rPr>
        <w:t xml:space="preserve"> range depending on the reaction conditions, including polymer concentration, polymer ratio and the solvent composition. Critically</w:t>
      </w:r>
      <w:r>
        <w:rPr>
          <w:rFonts w:ascii="Calibri" w:hAnsi="Calibri" w:cs="Calibri"/>
          <w:sz w:val="22"/>
          <w:szCs w:val="22"/>
          <w:lang w:val="en-AU"/>
        </w:rPr>
        <w:t xml:space="preserve">, we explore the application of the microspheres, </w:t>
      </w:r>
      <w:r w:rsidRPr="00EB67F8">
        <w:rPr>
          <w:rFonts w:ascii="Calibri" w:hAnsi="Calibri" w:cs="Calibri"/>
          <w:sz w:val="22"/>
          <w:szCs w:val="22"/>
          <w:lang w:val="en-AU"/>
        </w:rPr>
        <w:t xml:space="preserve">including fluorescence, degradation and </w:t>
      </w:r>
      <w:proofErr w:type="spellStart"/>
      <w:r w:rsidRPr="00EB67F8">
        <w:rPr>
          <w:rFonts w:ascii="Calibri" w:hAnsi="Calibri" w:cs="Calibri"/>
          <w:sz w:val="22"/>
          <w:szCs w:val="22"/>
          <w:lang w:val="en-AU"/>
        </w:rPr>
        <w:t>swellability</w:t>
      </w:r>
      <w:proofErr w:type="spellEnd"/>
      <w:r w:rsidRPr="00EB67F8">
        <w:rPr>
          <w:rFonts w:ascii="Calibri" w:hAnsi="Calibri" w:cs="Calibri"/>
          <w:sz w:val="22"/>
          <w:szCs w:val="22"/>
          <w:lang w:val="en-AU"/>
        </w:rPr>
        <w:t xml:space="preserve"> for encapsulation.</w:t>
      </w:r>
    </w:p>
    <w:p w14:paraId="49E371A3" w14:textId="77777777" w:rsidR="00F713EF" w:rsidRPr="00F713EF" w:rsidRDefault="00F713EF" w:rsidP="00F713EF">
      <w:pPr>
        <w:ind w:left="284" w:right="282"/>
        <w:jc w:val="both"/>
        <w:rPr>
          <w:rFonts w:ascii="Calibri" w:hAnsi="Calibri" w:cs="Calibri"/>
          <w:b/>
          <w:bCs/>
          <w:sz w:val="22"/>
          <w:szCs w:val="22"/>
          <w:lang w:val="en-AU"/>
        </w:rPr>
      </w:pPr>
    </w:p>
    <w:p w14:paraId="181C748C" w14:textId="23942FDA" w:rsidR="00641190" w:rsidRPr="000A6D19" w:rsidRDefault="00045573" w:rsidP="009A4CFF">
      <w:pPr>
        <w:ind w:left="284" w:right="282"/>
        <w:jc w:val="both"/>
        <w:rPr>
          <w:rFonts w:ascii="Calibri" w:hAnsi="Calibri" w:cs="Calibri"/>
          <w:b/>
          <w:bCs/>
          <w:sz w:val="22"/>
          <w:szCs w:val="22"/>
        </w:rPr>
      </w:pPr>
      <w:r w:rsidRPr="000A6D19">
        <w:rPr>
          <w:rFonts w:ascii="Calibri" w:hAnsi="Calibri" w:cs="Calibri"/>
          <w:b/>
          <w:bCs/>
          <w:lang w:val="en-AU"/>
        </w:rPr>
        <w:t>Conclusion</w:t>
      </w:r>
      <w:r w:rsidRPr="000A6D19">
        <w:rPr>
          <w:rFonts w:ascii="Calibri" w:hAnsi="Calibri" w:cs="Calibri"/>
          <w:b/>
          <w:bCs/>
          <w:sz w:val="22"/>
          <w:szCs w:val="22"/>
        </w:rPr>
        <w:t xml:space="preserve"> </w:t>
      </w:r>
      <w:r w:rsidR="00B00764">
        <w:rPr>
          <w:rFonts w:ascii="Calibri" w:eastAsia="Calibri" w:hAnsi="Calibri" w:cs="Arial"/>
          <w:sz w:val="22"/>
          <w:szCs w:val="22"/>
          <w:lang w:val="en-GB"/>
        </w:rPr>
        <w:t>The power of this microsphere synthesis</w:t>
      </w:r>
      <w:r w:rsidR="00977E89" w:rsidRPr="00977E89">
        <w:rPr>
          <w:rFonts w:ascii="Calibri" w:eastAsia="Calibri" w:hAnsi="Calibri" w:cs="Arial"/>
          <w:sz w:val="22"/>
          <w:szCs w:val="22"/>
          <w:lang w:val="en-GB"/>
        </w:rPr>
        <w:t xml:space="preserve"> </w:t>
      </w:r>
      <w:r w:rsidR="00AD5F29">
        <w:rPr>
          <w:rFonts w:ascii="Calibri" w:eastAsia="Calibri" w:hAnsi="Calibri" w:cs="Arial"/>
          <w:sz w:val="22"/>
          <w:szCs w:val="22"/>
          <w:lang w:val="en-GB"/>
        </w:rPr>
        <w:t xml:space="preserve">method </w:t>
      </w:r>
      <w:r w:rsidR="00977E89" w:rsidRPr="00977E89">
        <w:rPr>
          <w:rFonts w:ascii="Calibri" w:eastAsia="Calibri" w:hAnsi="Calibri" w:cs="Arial"/>
          <w:sz w:val="22"/>
          <w:szCs w:val="22"/>
          <w:lang w:val="en-GB"/>
        </w:rPr>
        <w:t>is wide-ranging with broad application potential, especially in bioanalysis and imaging applications. Critically, the power of adding functionality to precursor polymers prior to particle synthesis adds an entirely new paradigm for the synthesis of cross-linked polymer microspheres. We envision a variety of avenues for future development, including polymer backbone/solvent combinations, alternative cross-linking chemistries, or the incorporation of additional functionality with orthogonal reactivity for increasingly adv</w:t>
      </w:r>
      <w:r w:rsidR="00AD5F29">
        <w:rPr>
          <w:rFonts w:ascii="Calibri" w:eastAsia="Calibri" w:hAnsi="Calibri" w:cs="Arial"/>
          <w:sz w:val="22"/>
          <w:szCs w:val="22"/>
          <w:lang w:val="en-GB"/>
        </w:rPr>
        <w:t>anced material design</w:t>
      </w:r>
      <w:r w:rsidR="00977E89" w:rsidRPr="00977E89">
        <w:rPr>
          <w:rFonts w:ascii="Calibri" w:eastAsia="Calibri" w:hAnsi="Calibri" w:cs="Arial"/>
          <w:sz w:val="22"/>
          <w:szCs w:val="22"/>
          <w:lang w:val="en-GB"/>
        </w:rPr>
        <w:t>.</w:t>
      </w:r>
    </w:p>
    <w:p w14:paraId="766DA9A5" w14:textId="60863F4C" w:rsidR="004E5450" w:rsidRDefault="004E5450" w:rsidP="009A4CFF">
      <w:pPr>
        <w:ind w:left="284" w:right="282"/>
        <w:jc w:val="both"/>
        <w:rPr>
          <w:rFonts w:ascii="Calibri" w:hAnsi="Calibri" w:cs="Calibri"/>
          <w:sz w:val="22"/>
          <w:szCs w:val="22"/>
          <w:lang w:val="en-AU"/>
        </w:rPr>
      </w:pPr>
    </w:p>
    <w:p w14:paraId="193725D9" w14:textId="52D5785E"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68121AF2" w14:textId="45F7AE38" w:rsidR="00DC0ABB" w:rsidRPr="006B3866" w:rsidRDefault="00F713EF" w:rsidP="00977E89">
      <w:pPr>
        <w:numPr>
          <w:ilvl w:val="0"/>
          <w:numId w:val="1"/>
        </w:numPr>
        <w:shd w:val="clear" w:color="auto" w:fill="FFFFFF"/>
        <w:ind w:left="284" w:right="282" w:firstLine="0"/>
        <w:jc w:val="both"/>
        <w:textAlignment w:val="top"/>
        <w:rPr>
          <w:rFonts w:asciiTheme="minorHAnsi" w:hAnsiTheme="minorHAnsi" w:cstheme="minorHAnsi"/>
          <w:sz w:val="22"/>
          <w:szCs w:val="22"/>
          <w:lang w:eastAsia="en-AU"/>
        </w:rPr>
      </w:pPr>
      <w:r>
        <w:rPr>
          <w:rFonts w:asciiTheme="minorHAnsi" w:hAnsiTheme="minorHAnsi" w:cstheme="minorHAnsi"/>
          <w:sz w:val="22"/>
          <w:szCs w:val="22"/>
        </w:rPr>
        <w:t xml:space="preserve">Hooker, J.P.; </w:t>
      </w:r>
      <w:proofErr w:type="spellStart"/>
      <w:r>
        <w:rPr>
          <w:rFonts w:asciiTheme="minorHAnsi" w:hAnsiTheme="minorHAnsi" w:cstheme="minorHAnsi"/>
          <w:sz w:val="22"/>
          <w:szCs w:val="22"/>
        </w:rPr>
        <w:t>Delafresnaye</w:t>
      </w:r>
      <w:proofErr w:type="spellEnd"/>
      <w:r>
        <w:rPr>
          <w:rFonts w:asciiTheme="minorHAnsi" w:hAnsiTheme="minorHAnsi" w:cstheme="minorHAnsi"/>
          <w:sz w:val="22"/>
          <w:szCs w:val="22"/>
        </w:rPr>
        <w:t>, L.; Barner, L.; Barner-</w:t>
      </w:r>
      <w:proofErr w:type="spellStart"/>
      <w:r>
        <w:rPr>
          <w:rFonts w:asciiTheme="minorHAnsi" w:hAnsiTheme="minorHAnsi" w:cstheme="minorHAnsi"/>
          <w:sz w:val="22"/>
          <w:szCs w:val="22"/>
        </w:rPr>
        <w:t>Kowollik</w:t>
      </w:r>
      <w:proofErr w:type="spellEnd"/>
      <w:r>
        <w:rPr>
          <w:rFonts w:asciiTheme="minorHAnsi" w:hAnsiTheme="minorHAnsi" w:cstheme="minorHAnsi"/>
          <w:sz w:val="22"/>
          <w:szCs w:val="22"/>
        </w:rPr>
        <w:t>, C.</w:t>
      </w:r>
      <w:r w:rsidR="00DC0ABB" w:rsidRPr="006B3866">
        <w:rPr>
          <w:rFonts w:asciiTheme="minorHAnsi" w:hAnsiTheme="minorHAnsi" w:cstheme="minorHAnsi"/>
          <w:sz w:val="22"/>
          <w:szCs w:val="22"/>
        </w:rPr>
        <w:t xml:space="preserve"> (</w:t>
      </w:r>
      <w:r w:rsidR="00B00764">
        <w:rPr>
          <w:rFonts w:asciiTheme="minorHAnsi" w:hAnsiTheme="minorHAnsi" w:cstheme="minorHAnsi"/>
          <w:sz w:val="22"/>
          <w:szCs w:val="22"/>
        </w:rPr>
        <w:t>20</w:t>
      </w:r>
      <w:r w:rsidR="00DC0ABB" w:rsidRPr="006B3866">
        <w:rPr>
          <w:rFonts w:asciiTheme="minorHAnsi" w:hAnsiTheme="minorHAnsi" w:cstheme="minorHAnsi"/>
          <w:sz w:val="22"/>
          <w:szCs w:val="22"/>
        </w:rPr>
        <w:t>19</w:t>
      </w:r>
      <w:r>
        <w:rPr>
          <w:rFonts w:asciiTheme="minorHAnsi" w:hAnsiTheme="minorHAnsi" w:cstheme="minorHAnsi"/>
          <w:sz w:val="22"/>
          <w:szCs w:val="22"/>
        </w:rPr>
        <w:t>).</w:t>
      </w:r>
      <w:r w:rsidR="00DC0ABB" w:rsidRPr="006B3866">
        <w:rPr>
          <w:rFonts w:asciiTheme="minorHAnsi" w:hAnsiTheme="minorHAnsi" w:cstheme="minorHAnsi"/>
          <w:sz w:val="22"/>
          <w:szCs w:val="22"/>
        </w:rPr>
        <w:t xml:space="preserve"> </w:t>
      </w:r>
      <w:r>
        <w:rPr>
          <w:rFonts w:asciiTheme="minorHAnsi" w:hAnsiTheme="minorHAnsi" w:cstheme="minorHAnsi"/>
          <w:sz w:val="22"/>
          <w:szCs w:val="22"/>
        </w:rPr>
        <w:t>Mater</w:t>
      </w:r>
      <w:r w:rsidR="001A21AD" w:rsidRPr="006B3866">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Horiz</w:t>
      </w:r>
      <w:proofErr w:type="spellEnd"/>
      <w:r>
        <w:rPr>
          <w:rFonts w:asciiTheme="minorHAnsi" w:hAnsiTheme="minorHAnsi" w:cstheme="minorHAnsi"/>
          <w:sz w:val="22"/>
          <w:szCs w:val="22"/>
        </w:rPr>
        <w:t>.</w:t>
      </w:r>
      <w:r w:rsidR="00DC0ABB" w:rsidRPr="006B3866">
        <w:rPr>
          <w:rFonts w:asciiTheme="minorHAnsi" w:hAnsiTheme="minorHAnsi" w:cstheme="minorHAnsi"/>
          <w:sz w:val="22"/>
          <w:szCs w:val="22"/>
        </w:rPr>
        <w:t xml:space="preserve"> </w:t>
      </w:r>
      <w:r>
        <w:rPr>
          <w:rFonts w:asciiTheme="minorHAnsi" w:hAnsiTheme="minorHAnsi" w:cstheme="minorHAnsi"/>
          <w:sz w:val="22"/>
          <w:szCs w:val="22"/>
        </w:rPr>
        <w:t>6</w:t>
      </w:r>
      <w:r w:rsidR="00DC0ABB" w:rsidRPr="006B3866">
        <w:rPr>
          <w:rFonts w:asciiTheme="minorHAnsi" w:hAnsiTheme="minorHAnsi" w:cstheme="minorHAnsi"/>
          <w:sz w:val="22"/>
          <w:szCs w:val="22"/>
        </w:rPr>
        <w:t xml:space="preserve">, </w:t>
      </w:r>
      <w:r>
        <w:rPr>
          <w:rFonts w:asciiTheme="minorHAnsi" w:hAnsiTheme="minorHAnsi" w:cstheme="minorHAnsi"/>
          <w:sz w:val="22"/>
          <w:szCs w:val="22"/>
        </w:rPr>
        <w:t>356-363</w:t>
      </w:r>
      <w:r w:rsidR="00DC0ABB" w:rsidRPr="006B3866">
        <w:rPr>
          <w:rFonts w:asciiTheme="minorHAnsi" w:hAnsiTheme="minorHAnsi" w:cstheme="minorHAnsi"/>
          <w:sz w:val="22"/>
          <w:szCs w:val="22"/>
        </w:rPr>
        <w:t>.</w:t>
      </w:r>
    </w:p>
    <w:sectPr w:rsidR="00DC0ABB" w:rsidRPr="006B3866"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6BB"/>
    <w:rsid w:val="0004118E"/>
    <w:rsid w:val="00045573"/>
    <w:rsid w:val="000A6D19"/>
    <w:rsid w:val="001A21AD"/>
    <w:rsid w:val="001F320E"/>
    <w:rsid w:val="001F39A8"/>
    <w:rsid w:val="002078AD"/>
    <w:rsid w:val="00217D22"/>
    <w:rsid w:val="002226BB"/>
    <w:rsid w:val="00225236"/>
    <w:rsid w:val="002272B0"/>
    <w:rsid w:val="00300B92"/>
    <w:rsid w:val="0030585E"/>
    <w:rsid w:val="00387491"/>
    <w:rsid w:val="00447188"/>
    <w:rsid w:val="00466E92"/>
    <w:rsid w:val="00483B05"/>
    <w:rsid w:val="004E28B9"/>
    <w:rsid w:val="004E5450"/>
    <w:rsid w:val="005226A8"/>
    <w:rsid w:val="0055229D"/>
    <w:rsid w:val="00562D19"/>
    <w:rsid w:val="0059609A"/>
    <w:rsid w:val="00597659"/>
    <w:rsid w:val="005E48A2"/>
    <w:rsid w:val="005F19FF"/>
    <w:rsid w:val="00641190"/>
    <w:rsid w:val="006448F3"/>
    <w:rsid w:val="00645EB9"/>
    <w:rsid w:val="006B3866"/>
    <w:rsid w:val="00711813"/>
    <w:rsid w:val="00724E3C"/>
    <w:rsid w:val="00743C46"/>
    <w:rsid w:val="007F28E1"/>
    <w:rsid w:val="00803D85"/>
    <w:rsid w:val="008909C9"/>
    <w:rsid w:val="008A6B1D"/>
    <w:rsid w:val="00947B77"/>
    <w:rsid w:val="00977E89"/>
    <w:rsid w:val="00997C34"/>
    <w:rsid w:val="009A4CFF"/>
    <w:rsid w:val="009B2641"/>
    <w:rsid w:val="009E2228"/>
    <w:rsid w:val="009F06D6"/>
    <w:rsid w:val="00A266B4"/>
    <w:rsid w:val="00AD5F29"/>
    <w:rsid w:val="00AF4830"/>
    <w:rsid w:val="00B00764"/>
    <w:rsid w:val="00BA7179"/>
    <w:rsid w:val="00BC5FCC"/>
    <w:rsid w:val="00C60A71"/>
    <w:rsid w:val="00CC165A"/>
    <w:rsid w:val="00D55F3B"/>
    <w:rsid w:val="00DA0BF4"/>
    <w:rsid w:val="00DA2731"/>
    <w:rsid w:val="00DA5B1F"/>
    <w:rsid w:val="00DB4497"/>
    <w:rsid w:val="00DC0ABB"/>
    <w:rsid w:val="00DF1C8E"/>
    <w:rsid w:val="00EB67F8"/>
    <w:rsid w:val="00EF12F3"/>
    <w:rsid w:val="00F26BBE"/>
    <w:rsid w:val="00F713EF"/>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1">
    <w:name w:val="Unresolved Mention1"/>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customStyle="1" w:styleId="Title2">
    <w:name w:val="Title2"/>
    <w:basedOn w:val="Normal"/>
    <w:rsid w:val="00DA5B1F"/>
    <w:rPr>
      <w:rFonts w:eastAsia="MS Mincho"/>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2924</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Zoe Keogh</cp:lastModifiedBy>
  <cp:revision>2</cp:revision>
  <cp:lastPrinted>2013-06-13T05:15:00Z</cp:lastPrinted>
  <dcterms:created xsi:type="dcterms:W3CDTF">2019-12-19T00:30:00Z</dcterms:created>
  <dcterms:modified xsi:type="dcterms:W3CDTF">2019-12-19T00:30:00Z</dcterms:modified>
</cp:coreProperties>
</file>