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4DB5" w14:textId="08DB5092" w:rsidR="000A2124" w:rsidRDefault="000A2124" w:rsidP="000A2124">
      <w:r>
        <w:rPr>
          <w:rFonts w:ascii="Calibri" w:hAnsi="Calibri"/>
          <w:b/>
          <w:sz w:val="20"/>
        </w:rPr>
        <w:t xml:space="preserve">Randomized controlled trial of pharmacogenetic-guided SSRI </w:t>
      </w:r>
      <w:r w:rsidR="00EA7908">
        <w:rPr>
          <w:rFonts w:ascii="Calibri" w:hAnsi="Calibri"/>
          <w:b/>
          <w:sz w:val="20"/>
        </w:rPr>
        <w:t xml:space="preserve">antidepressant </w:t>
      </w:r>
      <w:r>
        <w:rPr>
          <w:rFonts w:ascii="Calibri" w:hAnsi="Calibri"/>
          <w:b/>
          <w:sz w:val="20"/>
        </w:rPr>
        <w:t xml:space="preserve">therapy in major </w:t>
      </w:r>
      <w:r w:rsidR="00194D75">
        <w:rPr>
          <w:rFonts w:ascii="Calibri" w:hAnsi="Calibri"/>
          <w:b/>
          <w:sz w:val="20"/>
        </w:rPr>
        <w:t>depression</w:t>
      </w:r>
    </w:p>
    <w:p w14:paraId="32760E31" w14:textId="6B754614" w:rsidR="00EF142D" w:rsidRDefault="000A2124" w:rsidP="000A2124">
      <w:pPr>
        <w:rPr>
          <w:rFonts w:ascii="Calibri" w:hAnsi="Calibri" w:cs="Calibri"/>
          <w:sz w:val="20"/>
          <w:szCs w:val="20"/>
          <w:lang w:val="en-AU"/>
        </w:rPr>
      </w:pPr>
      <w:r>
        <w:rPr>
          <w:rFonts w:ascii="Calibri" w:hAnsi="Calibri"/>
          <w:sz w:val="20"/>
        </w:rPr>
        <w:t>Shubham Atal¹, Abhijit Rozatkar</w:t>
      </w:r>
      <w:r w:rsidRPr="00FE457C">
        <w:rPr>
          <w:rFonts w:ascii="Calibri" w:hAnsi="Calibri"/>
          <w:sz w:val="20"/>
          <w:vertAlign w:val="superscript"/>
        </w:rPr>
        <w:t>2</w:t>
      </w:r>
      <w:r>
        <w:rPr>
          <w:rFonts w:ascii="Calibri" w:hAnsi="Calibri"/>
          <w:sz w:val="20"/>
        </w:rPr>
        <w:t xml:space="preserve">, </w:t>
      </w:r>
      <w:proofErr w:type="spellStart"/>
      <w:r w:rsidR="00EF142D">
        <w:rPr>
          <w:rFonts w:ascii="Calibri" w:hAnsi="Calibri"/>
          <w:sz w:val="20"/>
        </w:rPr>
        <w:t>Santenna</w:t>
      </w:r>
      <w:proofErr w:type="spellEnd"/>
      <w:r w:rsidR="00EF142D">
        <w:rPr>
          <w:rFonts w:ascii="Calibri" w:hAnsi="Calibri"/>
          <w:sz w:val="20"/>
        </w:rPr>
        <w:t xml:space="preserve"> Chenchula¹, </w:t>
      </w:r>
      <w:proofErr w:type="spellStart"/>
      <w:r>
        <w:rPr>
          <w:rFonts w:ascii="Calibri" w:hAnsi="Calibri"/>
          <w:sz w:val="20"/>
        </w:rPr>
        <w:t>Ratinder</w:t>
      </w:r>
      <w:proofErr w:type="spellEnd"/>
      <w:r>
        <w:rPr>
          <w:rFonts w:ascii="Calibri" w:hAnsi="Calibri"/>
          <w:sz w:val="20"/>
        </w:rPr>
        <w:t xml:space="preserve"> Jhaj¹, </w:t>
      </w:r>
      <w:proofErr w:type="spellStart"/>
      <w:r>
        <w:rPr>
          <w:rFonts w:ascii="Calibri" w:hAnsi="Calibri"/>
          <w:sz w:val="20"/>
        </w:rPr>
        <w:t>Tamonud</w:t>
      </w:r>
      <w:proofErr w:type="spellEnd"/>
      <w:r>
        <w:rPr>
          <w:rFonts w:ascii="Calibri" w:hAnsi="Calibri"/>
          <w:sz w:val="20"/>
        </w:rPr>
        <w:t xml:space="preserve"> Modak</w:t>
      </w:r>
      <w:r w:rsidRPr="00FE457C">
        <w:rPr>
          <w:rFonts w:ascii="Calibri" w:hAnsi="Calibri"/>
          <w:sz w:val="20"/>
          <w:vertAlign w:val="superscript"/>
        </w:rPr>
        <w:t>2</w:t>
      </w:r>
      <w:r w:rsidR="00EF142D">
        <w:rPr>
          <w:rFonts w:ascii="Calibri" w:hAnsi="Calibri" w:cs="Calibri"/>
          <w:sz w:val="20"/>
          <w:szCs w:val="20"/>
          <w:lang w:val="en-AU"/>
        </w:rPr>
        <w:t xml:space="preserve">, </w:t>
      </w:r>
      <w:r w:rsidR="00EF142D">
        <w:rPr>
          <w:rFonts w:ascii="Calibri" w:hAnsi="Calibri"/>
          <w:sz w:val="20"/>
        </w:rPr>
        <w:t>Komal Kohat</w:t>
      </w:r>
      <w:r w:rsidR="00EF142D" w:rsidRPr="00FE457C">
        <w:rPr>
          <w:rFonts w:ascii="Calibri" w:hAnsi="Calibri"/>
          <w:sz w:val="20"/>
          <w:vertAlign w:val="superscript"/>
        </w:rPr>
        <w:t>2</w:t>
      </w:r>
      <w:r w:rsidR="00711813" w:rsidRPr="004E5450">
        <w:rPr>
          <w:rFonts w:ascii="Calibri" w:hAnsi="Calibri" w:cs="Calibri"/>
          <w:sz w:val="20"/>
          <w:szCs w:val="20"/>
          <w:lang w:val="en-AU"/>
        </w:rPr>
        <w:t xml:space="preserve"> </w:t>
      </w:r>
    </w:p>
    <w:p w14:paraId="7FC8E2B4" w14:textId="5B9D092E" w:rsidR="000A2124" w:rsidRDefault="000A2124" w:rsidP="000A2124">
      <w:r>
        <w:rPr>
          <w:rFonts w:ascii="Calibri" w:hAnsi="Calibri"/>
          <w:sz w:val="20"/>
        </w:rPr>
        <w:t>¹Department of Pharmacology, AIIMS Bhopal, M</w:t>
      </w:r>
      <w:r w:rsidR="00381E69">
        <w:rPr>
          <w:rFonts w:ascii="Calibri" w:hAnsi="Calibri"/>
          <w:sz w:val="20"/>
        </w:rPr>
        <w:t>.P.</w:t>
      </w:r>
      <w:r>
        <w:rPr>
          <w:rFonts w:ascii="Calibri" w:hAnsi="Calibri"/>
          <w:sz w:val="20"/>
        </w:rPr>
        <w:t xml:space="preserve">, India </w:t>
      </w:r>
      <w:r w:rsidRPr="00FE457C">
        <w:rPr>
          <w:rFonts w:ascii="Calibri" w:hAnsi="Calibri"/>
          <w:sz w:val="20"/>
          <w:vertAlign w:val="superscript"/>
        </w:rPr>
        <w:t>2</w:t>
      </w:r>
      <w:r>
        <w:rPr>
          <w:rFonts w:ascii="Calibri" w:hAnsi="Calibri"/>
          <w:sz w:val="20"/>
        </w:rPr>
        <w:t xml:space="preserve">Department of Psychiatry, AIIMS Bhopal, </w:t>
      </w:r>
      <w:r w:rsidR="00381E69">
        <w:rPr>
          <w:rFonts w:ascii="Calibri" w:hAnsi="Calibri"/>
          <w:sz w:val="20"/>
        </w:rPr>
        <w:t>M.P.</w:t>
      </w:r>
      <w:r>
        <w:rPr>
          <w:rFonts w:ascii="Calibri" w:hAnsi="Calibri"/>
          <w:sz w:val="20"/>
        </w:rPr>
        <w:t>, India</w:t>
      </w:r>
    </w:p>
    <w:p w14:paraId="58AE1E4E" w14:textId="07C97915" w:rsidR="00711813" w:rsidRPr="004E5450" w:rsidRDefault="00711813" w:rsidP="00711813">
      <w:pPr>
        <w:pStyle w:val="Default"/>
        <w:jc w:val="both"/>
        <w:rPr>
          <w:color w:val="auto"/>
          <w:sz w:val="20"/>
          <w:szCs w:val="20"/>
          <w:lang w:val="en-AU"/>
        </w:rPr>
      </w:pPr>
    </w:p>
    <w:p w14:paraId="2ACD8D8C" w14:textId="5736D393" w:rsidR="00711813" w:rsidRPr="000A2124" w:rsidRDefault="00270E24" w:rsidP="000A2124">
      <w:r w:rsidRPr="008A47E4">
        <w:rPr>
          <w:b/>
          <w:bCs/>
          <w:noProof/>
        </w:rPr>
        <w:drawing>
          <wp:anchor distT="6096" distB="34671" distL="163068" distR="115443" simplePos="0" relativeHeight="251657728" behindDoc="0" locked="0" layoutInCell="1" allowOverlap="1" wp14:anchorId="641A4DFD" wp14:editId="602986A0">
            <wp:simplePos x="0" y="0"/>
            <wp:positionH relativeFrom="column">
              <wp:posOffset>4563110</wp:posOffset>
            </wp:positionH>
            <wp:positionV relativeFrom="paragraph">
              <wp:posOffset>33020</wp:posOffset>
            </wp:positionV>
            <wp:extent cx="1564005" cy="988695"/>
            <wp:effectExtent l="0" t="0" r="0" b="1905"/>
            <wp:wrapSquare wrapText="bothSides"/>
            <wp:docPr id="2" name="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 3"/>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64005" cy="988695"/>
                    </a:xfrm>
                    <a:prstGeom prst="rect">
                      <a:avLst/>
                    </a:prstGeom>
                    <a:noFill/>
                  </pic:spPr>
                </pic:pic>
              </a:graphicData>
            </a:graphic>
            <wp14:sizeRelH relativeFrom="page">
              <wp14:pctWidth>0</wp14:pctWidth>
            </wp14:sizeRelH>
            <wp14:sizeRelV relativeFrom="page">
              <wp14:pctHeight>0</wp14:pctHeight>
            </wp14:sizeRelV>
          </wp:anchor>
        </w:drawing>
      </w:r>
      <w:r w:rsidR="00711813" w:rsidRPr="008A47E4">
        <w:rPr>
          <w:rFonts w:ascii="Calibri" w:hAnsi="Calibri" w:cs="Calibri"/>
          <w:b/>
          <w:bCs/>
          <w:sz w:val="20"/>
          <w:szCs w:val="20"/>
          <w:lang w:val="en-AU"/>
        </w:rPr>
        <w:t>Introduction.</w:t>
      </w:r>
      <w:r w:rsidR="00711813" w:rsidRPr="004E5450">
        <w:rPr>
          <w:rFonts w:ascii="Calibri" w:hAnsi="Calibri" w:cs="Calibri"/>
          <w:sz w:val="20"/>
          <w:szCs w:val="20"/>
          <w:lang w:val="en-AU"/>
        </w:rPr>
        <w:t xml:space="preserve"> </w:t>
      </w:r>
      <w:r w:rsidR="00156342" w:rsidRPr="00156342">
        <w:rPr>
          <w:rFonts w:ascii="Calibri" w:hAnsi="Calibri"/>
          <w:sz w:val="20"/>
        </w:rPr>
        <w:t>Interindividual variability in antidepressant response is partly mediated by genetic polymorphisms in drug-metabolizing enzymes. Pharmacogenetic (PGx) guidance has been used to personalize antidepressant prescribing, but evidence from low- and middle-income country settings remains limited.</w:t>
      </w:r>
    </w:p>
    <w:p w14:paraId="57170C39" w14:textId="29FF3D99" w:rsidR="00156342" w:rsidRDefault="00711813" w:rsidP="00711813">
      <w:pPr>
        <w:jc w:val="both"/>
        <w:rPr>
          <w:rFonts w:ascii="Calibri" w:hAnsi="Calibri"/>
          <w:sz w:val="20"/>
        </w:rPr>
      </w:pPr>
      <w:r w:rsidRPr="008A47E4">
        <w:rPr>
          <w:rFonts w:ascii="Calibri" w:hAnsi="Calibri" w:cs="Calibri"/>
          <w:b/>
          <w:bCs/>
          <w:sz w:val="20"/>
          <w:szCs w:val="20"/>
          <w:lang w:val="en-AU"/>
        </w:rPr>
        <w:t>Aims.</w:t>
      </w:r>
      <w:r w:rsidRPr="004E5450">
        <w:rPr>
          <w:rFonts w:ascii="Calibri" w:hAnsi="Calibri" w:cs="Calibri"/>
          <w:sz w:val="20"/>
          <w:szCs w:val="20"/>
          <w:lang w:val="en-AU"/>
        </w:rPr>
        <w:t xml:space="preserve"> </w:t>
      </w:r>
      <w:r w:rsidR="00156342" w:rsidRPr="00156342">
        <w:rPr>
          <w:rFonts w:ascii="Calibri" w:hAnsi="Calibri"/>
          <w:sz w:val="20"/>
        </w:rPr>
        <w:t>To evaluate whether PGx-guided prescribing of selective serotonin reuptake inhibitors (SSRIs) improves efficacy and tolerability compared with routine care (RC) in patients with major depressive disorder (MDD).</w:t>
      </w:r>
    </w:p>
    <w:p w14:paraId="23C158D5" w14:textId="22C6CD41" w:rsidR="00156342" w:rsidRDefault="00711813" w:rsidP="00711813">
      <w:pPr>
        <w:jc w:val="both"/>
        <w:rPr>
          <w:rFonts w:ascii="Calibri" w:hAnsi="Calibri"/>
          <w:sz w:val="20"/>
        </w:rPr>
      </w:pPr>
      <w:r w:rsidRPr="008A47E4">
        <w:rPr>
          <w:rFonts w:ascii="Calibri" w:hAnsi="Calibri" w:cs="Calibri"/>
          <w:b/>
          <w:bCs/>
          <w:sz w:val="20"/>
          <w:szCs w:val="20"/>
          <w:lang w:val="en-AU"/>
        </w:rPr>
        <w:t>Methods.</w:t>
      </w:r>
      <w:r w:rsidRPr="004E5450">
        <w:rPr>
          <w:rFonts w:ascii="Calibri" w:hAnsi="Calibri" w:cs="Calibri"/>
          <w:sz w:val="20"/>
          <w:szCs w:val="20"/>
          <w:lang w:val="en-AU"/>
        </w:rPr>
        <w:t xml:space="preserve"> </w:t>
      </w:r>
      <w:r w:rsidR="0085115A" w:rsidRPr="0085115A">
        <w:rPr>
          <w:rFonts w:ascii="Calibri" w:hAnsi="Calibri"/>
          <w:sz w:val="20"/>
        </w:rPr>
        <w:t>In this single-</w:t>
      </w:r>
      <w:proofErr w:type="spellStart"/>
      <w:r w:rsidR="0085115A" w:rsidRPr="0085115A">
        <w:rPr>
          <w:rFonts w:ascii="Calibri" w:hAnsi="Calibri"/>
          <w:sz w:val="20"/>
        </w:rPr>
        <w:t>centre</w:t>
      </w:r>
      <w:proofErr w:type="spellEnd"/>
      <w:r w:rsidR="0085115A" w:rsidRPr="0085115A">
        <w:rPr>
          <w:rFonts w:ascii="Calibri" w:hAnsi="Calibri"/>
          <w:sz w:val="20"/>
        </w:rPr>
        <w:t>, randomized, double-blinded controlled trial, adults with newly diagnosed MDD were assigned (1:1) to PGx-guided treatment or RC for 8 weeks. CYP2D6 and CYP2C19 genotypes were interpreted as per CPIC guidelines. Outcomes included HDRS-17 change, response, remission, treatment modifications, and adverse events (AEs)/FIBSER scores. Intention-to-treat and conservative sensitivity analyses were performed.</w:t>
      </w:r>
      <w:r w:rsidR="008340A6">
        <w:rPr>
          <w:rFonts w:ascii="Calibri" w:hAnsi="Calibri"/>
          <w:sz w:val="20"/>
        </w:rPr>
        <w:t xml:space="preserve"> (</w:t>
      </w:r>
      <w:r w:rsidR="008340A6" w:rsidRPr="008340A6">
        <w:rPr>
          <w:rFonts w:ascii="Calibri" w:hAnsi="Calibri"/>
          <w:sz w:val="20"/>
        </w:rPr>
        <w:t>CTRI/2022/08/044982</w:t>
      </w:r>
      <w:r w:rsidR="008340A6">
        <w:rPr>
          <w:rFonts w:ascii="Calibri" w:hAnsi="Calibri"/>
          <w:sz w:val="20"/>
        </w:rPr>
        <w:t>)</w:t>
      </w:r>
    </w:p>
    <w:p w14:paraId="0956894F" w14:textId="3B47EF08" w:rsidR="0085115A" w:rsidRDefault="00711813" w:rsidP="0085115A">
      <w:pPr>
        <w:jc w:val="both"/>
        <w:rPr>
          <w:rFonts w:ascii="Calibri" w:hAnsi="Calibri"/>
          <w:sz w:val="20"/>
        </w:rPr>
      </w:pPr>
      <w:r w:rsidRPr="008A47E4">
        <w:rPr>
          <w:rFonts w:ascii="Calibri" w:hAnsi="Calibri" w:cs="Calibri"/>
          <w:b/>
          <w:bCs/>
          <w:sz w:val="20"/>
          <w:szCs w:val="20"/>
          <w:lang w:val="en-AU"/>
        </w:rPr>
        <w:t>Results.</w:t>
      </w:r>
      <w:r w:rsidRPr="004E5450">
        <w:rPr>
          <w:rFonts w:ascii="Calibri" w:hAnsi="Calibri" w:cs="Calibri"/>
          <w:sz w:val="20"/>
          <w:szCs w:val="20"/>
          <w:lang w:val="en-AU"/>
        </w:rPr>
        <w:t xml:space="preserve"> </w:t>
      </w:r>
      <w:r w:rsidR="0085115A">
        <w:rPr>
          <w:rFonts w:ascii="Calibri" w:hAnsi="Calibri" w:cs="Calibri"/>
          <w:sz w:val="20"/>
          <w:szCs w:val="20"/>
          <w:lang w:val="en-AU"/>
        </w:rPr>
        <w:t xml:space="preserve">A total of </w:t>
      </w:r>
      <w:r w:rsidR="0085115A" w:rsidRPr="0085115A">
        <w:rPr>
          <w:rFonts w:ascii="Calibri" w:hAnsi="Calibri"/>
          <w:sz w:val="20"/>
        </w:rPr>
        <w:t>205 participants were randomized (PGx n=102; RC n=103)</w:t>
      </w:r>
      <w:r w:rsidR="0085115A">
        <w:rPr>
          <w:rFonts w:ascii="Calibri" w:hAnsi="Calibri"/>
          <w:sz w:val="20"/>
        </w:rPr>
        <w:t xml:space="preserve"> and assessed</w:t>
      </w:r>
      <w:r w:rsidR="0085115A" w:rsidRPr="0085115A">
        <w:rPr>
          <w:rFonts w:ascii="Calibri" w:hAnsi="Calibri"/>
          <w:sz w:val="20"/>
        </w:rPr>
        <w:t xml:space="preserve">. </w:t>
      </w:r>
      <w:r w:rsidR="0085115A">
        <w:rPr>
          <w:rFonts w:ascii="Calibri" w:hAnsi="Calibri"/>
          <w:sz w:val="20"/>
        </w:rPr>
        <w:t xml:space="preserve">With baseline characteristics and medication adherence balanced, </w:t>
      </w:r>
      <w:r w:rsidR="0085115A" w:rsidRPr="0085115A">
        <w:rPr>
          <w:rFonts w:ascii="Calibri" w:hAnsi="Calibri"/>
          <w:sz w:val="20"/>
        </w:rPr>
        <w:t xml:space="preserve">HDRS-17 scores decreased more in PGx at 4 weeks (10.5 vs 12.7, p&lt;0.001) and 8 weeks (6.9 vs 8.7, p&lt;0.001). Response was higher in PGx at week 4 (41.2% vs 20.4%, RR 2.02, 95% CI 1.29–3.16) and </w:t>
      </w:r>
      <w:r w:rsidR="0085115A">
        <w:rPr>
          <w:rFonts w:ascii="Calibri" w:hAnsi="Calibri"/>
          <w:sz w:val="20"/>
        </w:rPr>
        <w:t xml:space="preserve">week </w:t>
      </w:r>
      <w:r w:rsidR="0085115A" w:rsidRPr="0085115A">
        <w:rPr>
          <w:rFonts w:ascii="Calibri" w:hAnsi="Calibri"/>
          <w:sz w:val="20"/>
        </w:rPr>
        <w:t>8 (84.3% vs 68.0%, RR 1.24, 95% CI 1.06–1.45). Remission was greater at week 8 (</w:t>
      </w:r>
      <w:r w:rsidR="00072119" w:rsidRPr="00072119">
        <w:rPr>
          <w:rFonts w:ascii="Calibri" w:hAnsi="Calibri"/>
          <w:sz w:val="20"/>
        </w:rPr>
        <w:t>62.7</w:t>
      </w:r>
      <w:r w:rsidR="0085115A" w:rsidRPr="0085115A">
        <w:rPr>
          <w:rFonts w:ascii="Calibri" w:hAnsi="Calibri"/>
          <w:sz w:val="20"/>
        </w:rPr>
        <w:t xml:space="preserve">% vs </w:t>
      </w:r>
      <w:r w:rsidR="00072119">
        <w:rPr>
          <w:rFonts w:ascii="Calibri" w:hAnsi="Calibri"/>
          <w:sz w:val="20"/>
        </w:rPr>
        <w:t>45.6</w:t>
      </w:r>
      <w:r w:rsidR="0085115A" w:rsidRPr="0085115A">
        <w:rPr>
          <w:rFonts w:ascii="Calibri" w:hAnsi="Calibri"/>
          <w:sz w:val="20"/>
        </w:rPr>
        <w:t>%, RR 1.</w:t>
      </w:r>
      <w:r w:rsidR="00072119">
        <w:rPr>
          <w:rFonts w:ascii="Calibri" w:hAnsi="Calibri"/>
          <w:sz w:val="20"/>
        </w:rPr>
        <w:t>38</w:t>
      </w:r>
      <w:r w:rsidR="0085115A" w:rsidRPr="0085115A">
        <w:rPr>
          <w:rFonts w:ascii="Calibri" w:hAnsi="Calibri"/>
          <w:sz w:val="20"/>
        </w:rPr>
        <w:t xml:space="preserve">, 95% CI </w:t>
      </w:r>
      <w:r w:rsidR="00C47BCD" w:rsidRPr="00C47BCD">
        <w:rPr>
          <w:rFonts w:ascii="Calibri" w:hAnsi="Calibri"/>
          <w:sz w:val="20"/>
        </w:rPr>
        <w:t>1.06 – 1.78</w:t>
      </w:r>
      <w:r w:rsidR="0085115A" w:rsidRPr="0085115A">
        <w:rPr>
          <w:rFonts w:ascii="Calibri" w:hAnsi="Calibri"/>
          <w:sz w:val="20"/>
        </w:rPr>
        <w:t xml:space="preserve">). Early treatment modifications for non-response were fewer </w:t>
      </w:r>
      <w:r w:rsidR="0085115A">
        <w:rPr>
          <w:rFonts w:ascii="Calibri" w:hAnsi="Calibri"/>
          <w:sz w:val="20"/>
        </w:rPr>
        <w:t xml:space="preserve">in PGx </w:t>
      </w:r>
      <w:r w:rsidR="0085115A" w:rsidRPr="0085115A">
        <w:rPr>
          <w:rFonts w:ascii="Calibri" w:hAnsi="Calibri"/>
          <w:sz w:val="20"/>
        </w:rPr>
        <w:t>(22.5% vs 35.9%, p=0.035)</w:t>
      </w:r>
      <w:r w:rsidR="0085115A">
        <w:rPr>
          <w:rFonts w:ascii="Calibri" w:hAnsi="Calibri"/>
          <w:sz w:val="20"/>
        </w:rPr>
        <w:t xml:space="preserve">. </w:t>
      </w:r>
      <w:r w:rsidR="0085115A" w:rsidRPr="0085115A">
        <w:rPr>
          <w:rFonts w:ascii="Calibri" w:hAnsi="Calibri"/>
          <w:sz w:val="20"/>
        </w:rPr>
        <w:t xml:space="preserve">AEs were </w:t>
      </w:r>
      <w:r w:rsidR="0085115A">
        <w:rPr>
          <w:rFonts w:ascii="Calibri" w:hAnsi="Calibri"/>
          <w:sz w:val="20"/>
        </w:rPr>
        <w:t xml:space="preserve">also </w:t>
      </w:r>
      <w:r w:rsidR="0085115A" w:rsidRPr="0085115A">
        <w:rPr>
          <w:rFonts w:ascii="Calibri" w:hAnsi="Calibri"/>
          <w:sz w:val="20"/>
        </w:rPr>
        <w:t>numerically fewer in PGx, with lower FIBSER at week 4 (1.23 vs 2.14, p=0.01</w:t>
      </w:r>
      <w:r w:rsidR="00540342">
        <w:rPr>
          <w:rFonts w:ascii="Calibri" w:hAnsi="Calibri"/>
          <w:sz w:val="20"/>
        </w:rPr>
        <w:t>8</w:t>
      </w:r>
      <w:r w:rsidR="0085115A" w:rsidRPr="0085115A">
        <w:rPr>
          <w:rFonts w:ascii="Calibri" w:hAnsi="Calibri"/>
          <w:sz w:val="20"/>
        </w:rPr>
        <w:t xml:space="preserve">). Sensitivity analyses with stricter </w:t>
      </w:r>
      <w:r w:rsidR="005F27EA">
        <w:rPr>
          <w:rFonts w:ascii="Calibri" w:hAnsi="Calibri"/>
          <w:sz w:val="20"/>
        </w:rPr>
        <w:t>criteria</w:t>
      </w:r>
      <w:r w:rsidR="0085115A" w:rsidRPr="0085115A">
        <w:rPr>
          <w:rFonts w:ascii="Calibri" w:hAnsi="Calibri"/>
          <w:sz w:val="20"/>
        </w:rPr>
        <w:t xml:space="preserve"> attenuated effects but preserved direction, with </w:t>
      </w:r>
      <w:r w:rsidR="0085115A">
        <w:rPr>
          <w:rFonts w:ascii="Calibri" w:hAnsi="Calibri"/>
          <w:sz w:val="20"/>
        </w:rPr>
        <w:t>HDRS scores at both time points</w:t>
      </w:r>
      <w:r w:rsidR="004F4062">
        <w:rPr>
          <w:rFonts w:ascii="Calibri" w:hAnsi="Calibri"/>
          <w:sz w:val="20"/>
        </w:rPr>
        <w:t xml:space="preserve"> and week-4 (33.3% vs 20.4%) and </w:t>
      </w:r>
      <w:r w:rsidR="0085115A" w:rsidRPr="0085115A">
        <w:rPr>
          <w:rFonts w:ascii="Calibri" w:hAnsi="Calibri"/>
          <w:sz w:val="20"/>
        </w:rPr>
        <w:t xml:space="preserve">week-8 response (79.4% vs 68.0%) </w:t>
      </w:r>
      <w:r w:rsidR="004F4062">
        <w:rPr>
          <w:rFonts w:ascii="Calibri" w:hAnsi="Calibri"/>
          <w:sz w:val="20"/>
        </w:rPr>
        <w:t>as well as</w:t>
      </w:r>
      <w:r w:rsidR="0085115A" w:rsidRPr="0085115A">
        <w:rPr>
          <w:rFonts w:ascii="Calibri" w:hAnsi="Calibri"/>
          <w:sz w:val="20"/>
        </w:rPr>
        <w:t xml:space="preserve"> remission</w:t>
      </w:r>
      <w:r w:rsidR="004F4062">
        <w:rPr>
          <w:rFonts w:ascii="Calibri" w:hAnsi="Calibri"/>
          <w:sz w:val="20"/>
        </w:rPr>
        <w:t xml:space="preserve"> at week 8</w:t>
      </w:r>
      <w:r w:rsidR="0085115A" w:rsidRPr="0085115A">
        <w:rPr>
          <w:rFonts w:ascii="Calibri" w:hAnsi="Calibri"/>
          <w:sz w:val="20"/>
        </w:rPr>
        <w:t xml:space="preserve"> (39.2% vs 27.2%) remaining </w:t>
      </w:r>
      <w:r w:rsidR="00E55436">
        <w:rPr>
          <w:rFonts w:ascii="Calibri" w:hAnsi="Calibri"/>
          <w:sz w:val="20"/>
        </w:rPr>
        <w:t>borderline significant</w:t>
      </w:r>
      <w:r w:rsidR="0085115A" w:rsidRPr="0085115A">
        <w:rPr>
          <w:rFonts w:ascii="Calibri" w:hAnsi="Calibri"/>
          <w:sz w:val="20"/>
        </w:rPr>
        <w:t>.</w:t>
      </w:r>
    </w:p>
    <w:p w14:paraId="3498C715" w14:textId="539B20AE" w:rsidR="00F97620" w:rsidRPr="00812BD7" w:rsidRDefault="00711813" w:rsidP="0085115A">
      <w:pPr>
        <w:jc w:val="both"/>
      </w:pPr>
      <w:r w:rsidRPr="008A47E4">
        <w:rPr>
          <w:rFonts w:ascii="Calibri" w:hAnsi="Calibri" w:cs="Calibri"/>
          <w:b/>
          <w:bCs/>
          <w:sz w:val="20"/>
          <w:szCs w:val="20"/>
          <w:lang w:val="en-AU"/>
        </w:rPr>
        <w:t>Discussion.</w:t>
      </w:r>
      <w:r w:rsidRPr="004E5450">
        <w:rPr>
          <w:rFonts w:ascii="Calibri" w:hAnsi="Calibri" w:cs="Calibri"/>
          <w:sz w:val="20"/>
          <w:szCs w:val="20"/>
          <w:lang w:val="en-AU"/>
        </w:rPr>
        <w:t xml:space="preserve"> </w:t>
      </w:r>
      <w:r w:rsidR="00156342" w:rsidRPr="00156342">
        <w:rPr>
          <w:rFonts w:ascii="Calibri" w:hAnsi="Calibri"/>
          <w:sz w:val="20"/>
        </w:rPr>
        <w:t>PGx-guided prescribing led to higher early response, greater remission by week 8, fewer</w:t>
      </w:r>
      <w:r w:rsidR="00E55436">
        <w:rPr>
          <w:rFonts w:ascii="Calibri" w:hAnsi="Calibri"/>
          <w:sz w:val="20"/>
        </w:rPr>
        <w:t xml:space="preserve"> </w:t>
      </w:r>
      <w:r w:rsidR="00156342" w:rsidRPr="00156342">
        <w:rPr>
          <w:rFonts w:ascii="Calibri" w:hAnsi="Calibri"/>
          <w:sz w:val="20"/>
        </w:rPr>
        <w:t xml:space="preserve">treatment modifications, and improved tolerability compared with </w:t>
      </w:r>
      <w:r w:rsidR="00E55436">
        <w:rPr>
          <w:rFonts w:ascii="Calibri" w:hAnsi="Calibri"/>
          <w:sz w:val="20"/>
        </w:rPr>
        <w:t>routine care</w:t>
      </w:r>
      <w:r w:rsidR="00156342" w:rsidRPr="00156342">
        <w:rPr>
          <w:rFonts w:ascii="Calibri" w:hAnsi="Calibri"/>
          <w:sz w:val="20"/>
        </w:rPr>
        <w:t>. Sensitivity analyses confirmed robustness of these findings though with reduced effect sizes. This first RCT from India supports the clinical utility of integrating pharmacogenetic testing into SSRI treatment pathways for MDD in real-world LMIC contexts.</w:t>
      </w:r>
    </w:p>
    <w:sectPr w:rsidR="00F97620" w:rsidRPr="00812BD7"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72119"/>
    <w:rsid w:val="000A2124"/>
    <w:rsid w:val="000A4FA6"/>
    <w:rsid w:val="000D4A18"/>
    <w:rsid w:val="00156342"/>
    <w:rsid w:val="00157474"/>
    <w:rsid w:val="00194D75"/>
    <w:rsid w:val="002226BB"/>
    <w:rsid w:val="002272B0"/>
    <w:rsid w:val="00270E24"/>
    <w:rsid w:val="00297CF2"/>
    <w:rsid w:val="00300B92"/>
    <w:rsid w:val="003238D9"/>
    <w:rsid w:val="00326FE8"/>
    <w:rsid w:val="003530D8"/>
    <w:rsid w:val="00381E69"/>
    <w:rsid w:val="00387491"/>
    <w:rsid w:val="00444224"/>
    <w:rsid w:val="0047437F"/>
    <w:rsid w:val="00483B05"/>
    <w:rsid w:val="004E28B9"/>
    <w:rsid w:val="004E50FC"/>
    <w:rsid w:val="004E5450"/>
    <w:rsid w:val="004F4062"/>
    <w:rsid w:val="00540342"/>
    <w:rsid w:val="0059609A"/>
    <w:rsid w:val="00597659"/>
    <w:rsid w:val="005D1700"/>
    <w:rsid w:val="005E48A2"/>
    <w:rsid w:val="005E62BE"/>
    <w:rsid w:val="005F27EA"/>
    <w:rsid w:val="005F791B"/>
    <w:rsid w:val="00711813"/>
    <w:rsid w:val="00724E3C"/>
    <w:rsid w:val="00743C46"/>
    <w:rsid w:val="00760B17"/>
    <w:rsid w:val="00812BD7"/>
    <w:rsid w:val="008340A6"/>
    <w:rsid w:val="0085115A"/>
    <w:rsid w:val="00885303"/>
    <w:rsid w:val="008909C9"/>
    <w:rsid w:val="008A47E4"/>
    <w:rsid w:val="00947B77"/>
    <w:rsid w:val="009E2228"/>
    <w:rsid w:val="009F06D6"/>
    <w:rsid w:val="00A25107"/>
    <w:rsid w:val="00A266B4"/>
    <w:rsid w:val="00A71DEF"/>
    <w:rsid w:val="00AE2DA6"/>
    <w:rsid w:val="00BC5FCC"/>
    <w:rsid w:val="00C132EC"/>
    <w:rsid w:val="00C47BCD"/>
    <w:rsid w:val="00C60A71"/>
    <w:rsid w:val="00D0670D"/>
    <w:rsid w:val="00D20E14"/>
    <w:rsid w:val="00D55F3B"/>
    <w:rsid w:val="00DA2731"/>
    <w:rsid w:val="00E55436"/>
    <w:rsid w:val="00EA533A"/>
    <w:rsid w:val="00EA7908"/>
    <w:rsid w:val="00EF12F3"/>
    <w:rsid w:val="00EF142D"/>
    <w:rsid w:val="00F02477"/>
    <w:rsid w:val="00F90F73"/>
    <w:rsid w:val="00F97620"/>
    <w:rsid w:val="00FB1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C2EA6"/>
  <w15:chartTrackingRefBased/>
  <w15:docId w15:val="{7D546A1C-1872-594C-94E8-EE41BA56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shubham.atal@gmail.com</cp:lastModifiedBy>
  <cp:revision>22</cp:revision>
  <cp:lastPrinted>2025-09-02T19:26:00Z</cp:lastPrinted>
  <dcterms:created xsi:type="dcterms:W3CDTF">2025-09-02T19:26:00Z</dcterms:created>
  <dcterms:modified xsi:type="dcterms:W3CDTF">2025-09-12T13:27:00Z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