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13" w:rsidRPr="00DF1C8E" w:rsidRDefault="001E51DE" w:rsidP="00F26BBE">
      <w:pPr>
        <w:jc w:val="center"/>
        <w:rPr>
          <w:rFonts w:ascii="Calibri" w:hAnsi="Calibri" w:cs="Calibri"/>
          <w:b/>
          <w:sz w:val="28"/>
          <w:szCs w:val="28"/>
          <w:lang w:val="en-AU"/>
        </w:rPr>
      </w:pPr>
      <w:r>
        <w:rPr>
          <w:rFonts w:ascii="Calibri" w:hAnsi="Calibri" w:cs="Calibri"/>
          <w:b/>
          <w:sz w:val="28"/>
          <w:szCs w:val="28"/>
          <w:lang w:val="en-AU"/>
        </w:rPr>
        <w:t>The Use of Self-Immolative Polymers to Tune Nanoparticle/Biological Interactions</w:t>
      </w:r>
    </w:p>
    <w:p w:rsidR="00DF1C8E" w:rsidRDefault="00DF1C8E" w:rsidP="00711813">
      <w:pPr>
        <w:jc w:val="both"/>
        <w:rPr>
          <w:rFonts w:ascii="Calibri" w:hAnsi="Calibri" w:cs="Calibri"/>
          <w:sz w:val="20"/>
          <w:szCs w:val="20"/>
          <w:lang w:val="en-AU"/>
        </w:rPr>
      </w:pPr>
    </w:p>
    <w:p w:rsidR="001E51DE" w:rsidRPr="001E51DE" w:rsidRDefault="001E51DE" w:rsidP="001E51DE">
      <w:pPr>
        <w:widowControl w:val="0"/>
        <w:overflowPunct w:val="0"/>
        <w:autoSpaceDE w:val="0"/>
        <w:autoSpaceDN w:val="0"/>
        <w:adjustRightInd w:val="0"/>
        <w:jc w:val="center"/>
        <w:rPr>
          <w:rFonts w:asciiTheme="minorHAnsi" w:hAnsiTheme="minorHAnsi" w:cstheme="minorHAnsi"/>
        </w:rPr>
      </w:pPr>
      <w:r w:rsidRPr="001E51DE">
        <w:rPr>
          <w:rFonts w:asciiTheme="minorHAnsi" w:hAnsiTheme="minorHAnsi" w:cstheme="minorHAnsi"/>
        </w:rPr>
        <w:t>Samuel A. Smith</w:t>
      </w:r>
      <w:r>
        <w:rPr>
          <w:rFonts w:asciiTheme="minorHAnsi" w:hAnsiTheme="minorHAnsi" w:cstheme="minorHAnsi"/>
          <w:vertAlign w:val="superscript"/>
        </w:rPr>
        <w:t>A</w:t>
      </w:r>
      <w:r w:rsidRPr="001E51DE">
        <w:rPr>
          <w:rFonts w:asciiTheme="minorHAnsi" w:hAnsiTheme="minorHAnsi" w:cstheme="minorHAnsi"/>
        </w:rPr>
        <w:t>, Moore Chen</w:t>
      </w:r>
      <w:r>
        <w:rPr>
          <w:rFonts w:asciiTheme="minorHAnsi" w:hAnsiTheme="minorHAnsi" w:cstheme="minorHAnsi"/>
          <w:vertAlign w:val="superscript"/>
        </w:rPr>
        <w:t>B</w:t>
      </w:r>
      <w:r w:rsidRPr="001E51DE">
        <w:rPr>
          <w:rFonts w:asciiTheme="minorHAnsi" w:hAnsiTheme="minorHAnsi" w:cstheme="minorHAnsi"/>
        </w:rPr>
        <w:t>, Elizabeth R. Gillies</w:t>
      </w:r>
      <w:r>
        <w:rPr>
          <w:rFonts w:asciiTheme="minorHAnsi" w:hAnsiTheme="minorHAnsi" w:cstheme="minorHAnsi"/>
          <w:vertAlign w:val="superscript"/>
        </w:rPr>
        <w:t>C,D</w:t>
      </w:r>
      <w:r w:rsidRPr="001E51DE">
        <w:rPr>
          <w:rFonts w:asciiTheme="minorHAnsi" w:hAnsiTheme="minorHAnsi" w:cstheme="minorHAnsi"/>
        </w:rPr>
        <w:t>, Angus P.R.  Johnston</w:t>
      </w:r>
      <w:r>
        <w:rPr>
          <w:rFonts w:asciiTheme="minorHAnsi" w:hAnsiTheme="minorHAnsi" w:cstheme="minorHAnsi"/>
          <w:vertAlign w:val="superscript"/>
        </w:rPr>
        <w:t>B</w:t>
      </w:r>
      <w:r w:rsidRPr="001E51DE">
        <w:rPr>
          <w:rFonts w:asciiTheme="minorHAnsi" w:hAnsiTheme="minorHAnsi" w:cstheme="minorHAnsi"/>
        </w:rPr>
        <w:t>, Georgina K Such.</w:t>
      </w:r>
      <w:r>
        <w:rPr>
          <w:rFonts w:asciiTheme="minorHAnsi" w:hAnsiTheme="minorHAnsi" w:cstheme="minorHAnsi"/>
          <w:vertAlign w:val="superscript"/>
        </w:rPr>
        <w:t>A</w:t>
      </w:r>
    </w:p>
    <w:p w:rsidR="001E51DE" w:rsidRPr="001E51DE" w:rsidRDefault="001E51DE" w:rsidP="001E51DE">
      <w:pPr>
        <w:widowControl w:val="0"/>
        <w:overflowPunct w:val="0"/>
        <w:autoSpaceDE w:val="0"/>
        <w:autoSpaceDN w:val="0"/>
        <w:adjustRightInd w:val="0"/>
        <w:ind w:left="360"/>
        <w:jc w:val="center"/>
        <w:rPr>
          <w:rFonts w:asciiTheme="minorHAnsi" w:hAnsiTheme="minorHAnsi" w:cstheme="minorHAnsi"/>
          <w:sz w:val="22"/>
          <w:szCs w:val="22"/>
          <w:lang w:val="en-AU"/>
        </w:rPr>
      </w:pPr>
      <w:r>
        <w:rPr>
          <w:rFonts w:asciiTheme="minorHAnsi" w:hAnsiTheme="minorHAnsi" w:cstheme="minorHAnsi"/>
          <w:sz w:val="22"/>
          <w:szCs w:val="22"/>
          <w:vertAlign w:val="superscript"/>
          <w:lang w:val="en-AU"/>
        </w:rPr>
        <w:t>A</w:t>
      </w:r>
      <w:r w:rsidRPr="001E51DE">
        <w:rPr>
          <w:rFonts w:asciiTheme="minorHAnsi" w:hAnsiTheme="minorHAnsi" w:cstheme="minorHAnsi"/>
          <w:sz w:val="22"/>
          <w:szCs w:val="22"/>
          <w:lang w:val="en-AU"/>
        </w:rPr>
        <w:t xml:space="preserve"> School of Chemistry, The University of Melbourne, Parkville, Victoria 3010, Australia</w:t>
      </w:r>
    </w:p>
    <w:p w:rsidR="001E51DE" w:rsidRPr="001E51DE" w:rsidRDefault="001E51DE" w:rsidP="001E51DE">
      <w:pPr>
        <w:widowControl w:val="0"/>
        <w:overflowPunct w:val="0"/>
        <w:autoSpaceDE w:val="0"/>
        <w:autoSpaceDN w:val="0"/>
        <w:adjustRightInd w:val="0"/>
        <w:ind w:left="360"/>
        <w:jc w:val="center"/>
        <w:rPr>
          <w:rFonts w:asciiTheme="minorHAnsi" w:hAnsiTheme="minorHAnsi" w:cstheme="minorHAnsi"/>
          <w:sz w:val="22"/>
          <w:szCs w:val="22"/>
          <w:lang w:val="en-AU"/>
        </w:rPr>
      </w:pPr>
      <w:r>
        <w:rPr>
          <w:rFonts w:asciiTheme="minorHAnsi" w:hAnsiTheme="minorHAnsi" w:cstheme="minorHAnsi"/>
          <w:sz w:val="22"/>
          <w:szCs w:val="22"/>
          <w:vertAlign w:val="superscript"/>
          <w:lang w:val="en-AU"/>
        </w:rPr>
        <w:t>B</w:t>
      </w:r>
      <w:r w:rsidRPr="001E51DE">
        <w:rPr>
          <w:rFonts w:asciiTheme="minorHAnsi" w:hAnsiTheme="minorHAnsi" w:cstheme="minorHAnsi"/>
          <w:sz w:val="22"/>
          <w:szCs w:val="22"/>
          <w:lang w:val="en-AU"/>
        </w:rPr>
        <w:t xml:space="preserve"> Monash Institute of Pharmaceutical Sciences, Monash University, Parkville, Victoria 3052, Australia.</w:t>
      </w:r>
    </w:p>
    <w:p w:rsidR="001E51DE" w:rsidRPr="001E51DE" w:rsidRDefault="001E51DE" w:rsidP="001E51DE">
      <w:pPr>
        <w:widowControl w:val="0"/>
        <w:overflowPunct w:val="0"/>
        <w:autoSpaceDE w:val="0"/>
        <w:autoSpaceDN w:val="0"/>
        <w:adjustRightInd w:val="0"/>
        <w:ind w:left="360"/>
        <w:jc w:val="center"/>
        <w:rPr>
          <w:rFonts w:asciiTheme="minorHAnsi" w:hAnsiTheme="minorHAnsi" w:cstheme="minorHAnsi"/>
          <w:sz w:val="22"/>
          <w:szCs w:val="22"/>
          <w:lang w:val="en-AU"/>
        </w:rPr>
      </w:pPr>
      <w:r>
        <w:rPr>
          <w:rFonts w:asciiTheme="minorHAnsi" w:hAnsiTheme="minorHAnsi" w:cstheme="minorHAnsi"/>
          <w:sz w:val="22"/>
          <w:szCs w:val="22"/>
          <w:vertAlign w:val="superscript"/>
          <w:lang w:val="en-AU"/>
        </w:rPr>
        <w:t>C</w:t>
      </w:r>
      <w:r w:rsidRPr="001E51DE">
        <w:rPr>
          <w:rFonts w:asciiTheme="minorHAnsi" w:hAnsiTheme="minorHAnsi" w:cstheme="minorHAnsi"/>
          <w:sz w:val="22"/>
          <w:szCs w:val="22"/>
          <w:lang w:val="en-AU"/>
        </w:rPr>
        <w:t xml:space="preserve"> Department of Chemistry and Centre for Advanced Materials and Biomaterials Research, The University of Western Ontario, 1151 Richmond Street, London, Canada N6A 5B7.</w:t>
      </w:r>
    </w:p>
    <w:p w:rsidR="001E51DE" w:rsidRPr="001E51DE" w:rsidRDefault="001E51DE" w:rsidP="001E51DE">
      <w:pPr>
        <w:widowControl w:val="0"/>
        <w:overflowPunct w:val="0"/>
        <w:autoSpaceDE w:val="0"/>
        <w:autoSpaceDN w:val="0"/>
        <w:adjustRightInd w:val="0"/>
        <w:ind w:left="360"/>
        <w:jc w:val="center"/>
        <w:rPr>
          <w:rFonts w:asciiTheme="minorHAnsi" w:hAnsiTheme="minorHAnsi" w:cstheme="minorHAnsi"/>
          <w:sz w:val="22"/>
          <w:szCs w:val="22"/>
          <w:lang w:val="en-AU"/>
        </w:rPr>
      </w:pPr>
      <w:r>
        <w:rPr>
          <w:rFonts w:asciiTheme="minorHAnsi" w:hAnsiTheme="minorHAnsi" w:cstheme="minorHAnsi"/>
          <w:sz w:val="22"/>
          <w:szCs w:val="22"/>
          <w:vertAlign w:val="superscript"/>
          <w:lang w:val="en-AU"/>
        </w:rPr>
        <w:t>D</w:t>
      </w:r>
      <w:r w:rsidRPr="001E51DE">
        <w:rPr>
          <w:rFonts w:asciiTheme="minorHAnsi" w:hAnsiTheme="minorHAnsi" w:cstheme="minorHAnsi"/>
          <w:sz w:val="22"/>
          <w:szCs w:val="22"/>
          <w:lang w:val="en-AU"/>
        </w:rPr>
        <w:t xml:space="preserve"> Department of Chemical and Biochemical Engineering, The University of Western Ontario, 1151 Richmond St, London, Canada N6A 5B7.</w:t>
      </w:r>
    </w:p>
    <w:p w:rsidR="00711813" w:rsidRPr="006B3866" w:rsidRDefault="00711813" w:rsidP="00711813">
      <w:pPr>
        <w:pStyle w:val="Default"/>
        <w:jc w:val="both"/>
        <w:rPr>
          <w:color w:val="auto"/>
          <w:sz w:val="22"/>
          <w:szCs w:val="22"/>
          <w:lang w:val="en-AU"/>
        </w:rPr>
      </w:pPr>
    </w:p>
    <w:p w:rsidR="001E51DE" w:rsidRPr="001E51DE" w:rsidRDefault="00D431DE" w:rsidP="001E51DE">
      <w:pPr>
        <w:jc w:val="both"/>
        <w:rPr>
          <w:rFonts w:asciiTheme="minorHAnsi" w:hAnsiTheme="minorHAnsi" w:cstheme="minorHAnsi"/>
          <w:color w:val="000000"/>
          <w:sz w:val="22"/>
          <w:szCs w:val="22"/>
        </w:rPr>
      </w:pPr>
      <w:r>
        <w:rPr>
          <w:rFonts w:asciiTheme="minorHAnsi" w:hAnsiTheme="minorHAnsi" w:cstheme="minorHAnsi"/>
          <w:noProof/>
          <w:sz w:val="22"/>
          <w:szCs w:val="22"/>
        </w:rPr>
        <w:drawing>
          <wp:anchor distT="0" distB="0" distL="114300" distR="114300" simplePos="0" relativeHeight="251662336" behindDoc="0" locked="0" layoutInCell="1" allowOverlap="1" wp14:anchorId="7F028B23">
            <wp:simplePos x="0" y="0"/>
            <wp:positionH relativeFrom="column">
              <wp:posOffset>1954530</wp:posOffset>
            </wp:positionH>
            <wp:positionV relativeFrom="paragraph">
              <wp:posOffset>2525264</wp:posOffset>
            </wp:positionV>
            <wp:extent cx="4152900" cy="825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m depolymerisation picture.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52900" cy="825500"/>
                    </a:xfrm>
                    <a:prstGeom prst="rect">
                      <a:avLst/>
                    </a:prstGeom>
                  </pic:spPr>
                </pic:pic>
              </a:graphicData>
            </a:graphic>
            <wp14:sizeRelH relativeFrom="page">
              <wp14:pctWidth>0</wp14:pctWidth>
            </wp14:sizeRelH>
            <wp14:sizeRelV relativeFrom="page">
              <wp14:pctHeight>0</wp14:pctHeight>
            </wp14:sizeRelV>
          </wp:anchor>
        </w:drawing>
      </w:r>
      <w:r w:rsidR="00711813" w:rsidRPr="006B3866">
        <w:rPr>
          <w:rFonts w:ascii="Calibri" w:hAnsi="Calibri" w:cs="Calibri"/>
          <w:sz w:val="22"/>
          <w:szCs w:val="22"/>
          <w:lang w:val="en-AU"/>
        </w:rPr>
        <w:t>Introduction.</w:t>
      </w:r>
      <w:r w:rsidR="009B2641" w:rsidRPr="009B2641">
        <w:rPr>
          <w:rFonts w:ascii="Calibri" w:hAnsi="Calibri" w:cs="Calibri"/>
          <w:b/>
          <w:bCs/>
          <w:sz w:val="22"/>
          <w:szCs w:val="22"/>
          <w:lang w:val="en-AU"/>
        </w:rPr>
        <w:t xml:space="preserve"> </w:t>
      </w:r>
      <w:r w:rsidR="001E51DE" w:rsidRPr="001E51DE">
        <w:rPr>
          <w:rFonts w:asciiTheme="minorHAnsi" w:hAnsiTheme="minorHAnsi" w:cstheme="minorHAnsi"/>
          <w:sz w:val="22"/>
          <w:szCs w:val="22"/>
          <w:lang w:val="en-AU"/>
        </w:rPr>
        <w:t>N</w:t>
      </w:r>
      <w:r w:rsidR="001E51DE" w:rsidRPr="001E51DE">
        <w:rPr>
          <w:rFonts w:asciiTheme="minorHAnsi" w:hAnsiTheme="minorHAnsi" w:cstheme="minorHAnsi"/>
          <w:sz w:val="22"/>
          <w:szCs w:val="22"/>
        </w:rPr>
        <w:t xml:space="preserve">anoparticle carriers have potential to enhance delivery of biological therapeutics by directing release to specific cells or tissue. </w:t>
      </w:r>
      <w:r w:rsidR="001E51DE" w:rsidRPr="001E51DE">
        <w:rPr>
          <w:rFonts w:asciiTheme="minorHAnsi" w:hAnsiTheme="minorHAnsi" w:cstheme="minorHAnsi"/>
          <w:color w:val="000000"/>
          <w:sz w:val="22"/>
          <w:szCs w:val="22"/>
        </w:rPr>
        <w:t xml:space="preserve">However, </w:t>
      </w:r>
      <w:r>
        <w:rPr>
          <w:rFonts w:asciiTheme="minorHAnsi" w:hAnsiTheme="minorHAnsi" w:cstheme="minorHAnsi"/>
          <w:color w:val="000000"/>
          <w:sz w:val="22"/>
          <w:szCs w:val="22"/>
        </w:rPr>
        <w:t>nanoparticles</w:t>
      </w:r>
      <w:r w:rsidR="001E51DE" w:rsidRPr="001E51DE">
        <w:rPr>
          <w:rFonts w:asciiTheme="minorHAnsi" w:hAnsiTheme="minorHAnsi" w:cstheme="minorHAnsi"/>
          <w:color w:val="000000"/>
          <w:sz w:val="22"/>
          <w:szCs w:val="22"/>
        </w:rPr>
        <w:t xml:space="preserve"> are still limited by inefficient delivery to target regions within the cell. One of the key limitations for the delivery of biological therapeutics such as DNA or proteins is delivery to the cytosol. It is well known that nanoparticles are internalised into</w:t>
      </w:r>
      <w:r w:rsidR="001E51DE" w:rsidRPr="001E51DE">
        <w:rPr>
          <w:rFonts w:asciiTheme="minorHAnsi" w:eastAsia="MS Gothic" w:hAnsiTheme="minorHAnsi" w:cstheme="minorHAnsi"/>
          <w:sz w:val="22"/>
          <w:szCs w:val="22"/>
        </w:rPr>
        <w:t xml:space="preserve"> acidic, cellular compartments </w:t>
      </w:r>
      <w:r w:rsidR="001E51DE" w:rsidRPr="001E51DE">
        <w:rPr>
          <w:rFonts w:asciiTheme="minorHAnsi" w:hAnsiTheme="minorHAnsi" w:cstheme="minorHAnsi"/>
          <w:color w:val="000000"/>
          <w:sz w:val="22"/>
          <w:szCs w:val="22"/>
        </w:rPr>
        <w:t>(lysosomes/endosomes)</w:t>
      </w:r>
      <w:r w:rsidR="001E51DE" w:rsidRPr="001E51DE">
        <w:rPr>
          <w:rFonts w:asciiTheme="minorHAnsi" w:eastAsia="MS Gothic" w:hAnsiTheme="minorHAnsi" w:cstheme="minorHAnsi"/>
          <w:sz w:val="22"/>
          <w:szCs w:val="22"/>
        </w:rPr>
        <w:t xml:space="preserve"> and need to efficiently escape from this region to be effective.</w:t>
      </w:r>
      <w:r w:rsidR="001E51DE" w:rsidRPr="001E51DE">
        <w:rPr>
          <w:rFonts w:asciiTheme="minorHAnsi" w:eastAsia="MS Gothic" w:hAnsiTheme="minorHAnsi" w:cstheme="minorHAnsi"/>
          <w:sz w:val="22"/>
          <w:szCs w:val="22"/>
          <w:vertAlign w:val="superscript"/>
        </w:rPr>
        <w:t>1</w:t>
      </w:r>
      <w:r w:rsidR="001E51DE" w:rsidRPr="001E51DE">
        <w:rPr>
          <w:rFonts w:asciiTheme="minorHAnsi" w:eastAsia="MS Gothic" w:hAnsiTheme="minorHAnsi" w:cstheme="minorHAnsi"/>
          <w:sz w:val="22"/>
          <w:szCs w:val="22"/>
          <w:vertAlign w:val="superscript"/>
        </w:rPr>
        <w:t xml:space="preserve"> </w:t>
      </w:r>
      <w:r w:rsidR="001E51DE" w:rsidRPr="001E51DE">
        <w:rPr>
          <w:rFonts w:asciiTheme="minorHAnsi" w:hAnsiTheme="minorHAnsi" w:cstheme="minorHAnsi"/>
          <w:color w:val="000000"/>
          <w:sz w:val="22"/>
          <w:szCs w:val="22"/>
        </w:rPr>
        <w:t xml:space="preserve">To design such materials one interesting pH responsive polymer is </w:t>
      </w:r>
      <w:r w:rsidR="001E51DE" w:rsidRPr="001E51DE">
        <w:rPr>
          <w:rFonts w:asciiTheme="minorHAnsi" w:eastAsia="MS Gothic" w:hAnsiTheme="minorHAnsi" w:cstheme="minorHAnsi"/>
          <w:sz w:val="22"/>
          <w:szCs w:val="22"/>
        </w:rPr>
        <w:t xml:space="preserve">poly(2-(diethylamino)ethyl methacrylate) (PDEAEMA), as it undergoes a transition from hydrophobic to hydrophilic in a pH range consistent with endosomal compartments. Nanoparticles using this polymer have shown the potential to facilitate endosomal escape based on pH induced change in the nanoparticle structure. </w:t>
      </w:r>
      <w:r w:rsidR="001E51DE" w:rsidRPr="001E51DE">
        <w:rPr>
          <w:rFonts w:asciiTheme="minorHAnsi" w:hAnsiTheme="minorHAnsi" w:cstheme="minorHAnsi"/>
          <w:color w:val="000000"/>
          <w:sz w:val="22"/>
          <w:szCs w:val="22"/>
        </w:rPr>
        <w:t>Another emerging polymer with potential application in delivery systems is self-immolative polymers, which undergo depolymerisation after cleavage of a responsive end-cap. There are limited studies using such polymers as nanoparticle carriers and thus there is little information about endosomal escape capabilities.</w:t>
      </w:r>
      <w:r w:rsidR="001E51DE">
        <w:rPr>
          <w:rFonts w:asciiTheme="minorHAnsi" w:hAnsiTheme="minorHAnsi" w:cstheme="minorHAnsi"/>
          <w:color w:val="000000"/>
          <w:sz w:val="22"/>
          <w:szCs w:val="22"/>
        </w:rPr>
        <w:t xml:space="preserve"> This presentation will report the synthesis of charge shifting nanoparticles and charge-shifting/self-immolative nanoparticles and investigate their response to pH. The interactions of the nanoparticles with their biological environment will also be discussed.</w:t>
      </w:r>
    </w:p>
    <w:p w:rsidR="00045573" w:rsidRPr="006B3866" w:rsidRDefault="00045573" w:rsidP="00711813">
      <w:pPr>
        <w:jc w:val="both"/>
        <w:rPr>
          <w:rFonts w:ascii="Calibri" w:hAnsi="Calibri" w:cs="Calibri"/>
          <w:sz w:val="22"/>
          <w:szCs w:val="22"/>
          <w:lang w:val="en-AU"/>
        </w:rPr>
      </w:pPr>
    </w:p>
    <w:p w:rsidR="001E51DE" w:rsidRPr="00D431DE" w:rsidRDefault="00D431DE" w:rsidP="001E51DE">
      <w:pPr>
        <w:jc w:val="both"/>
        <w:rPr>
          <w:rFonts w:ascii="Calibri" w:hAnsi="Calibri" w:cs="Calibri"/>
          <w:sz w:val="22"/>
          <w:szCs w:val="22"/>
          <w:lang w:val="en-AU"/>
        </w:rPr>
      </w:pPr>
      <w:r>
        <w:rPr>
          <w:noProof/>
        </w:rPr>
        <mc:AlternateContent>
          <mc:Choice Requires="wps">
            <w:drawing>
              <wp:anchor distT="0" distB="0" distL="114300" distR="114300" simplePos="0" relativeHeight="251664384" behindDoc="0" locked="0" layoutInCell="1" allowOverlap="1" wp14:anchorId="3A1D2FAD" wp14:editId="0CBAE1DB">
                <wp:simplePos x="0" y="0"/>
                <wp:positionH relativeFrom="column">
                  <wp:posOffset>1951815</wp:posOffset>
                </wp:positionH>
                <wp:positionV relativeFrom="paragraph">
                  <wp:posOffset>622519</wp:posOffset>
                </wp:positionV>
                <wp:extent cx="4152900" cy="3308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152900" cy="330835"/>
                        </a:xfrm>
                        <a:prstGeom prst="rect">
                          <a:avLst/>
                        </a:prstGeom>
                        <a:solidFill>
                          <a:prstClr val="white"/>
                        </a:solidFill>
                        <a:ln>
                          <a:noFill/>
                        </a:ln>
                      </wps:spPr>
                      <wps:txbx>
                        <w:txbxContent>
                          <w:p w:rsidR="00D431DE" w:rsidRPr="00D431DE" w:rsidRDefault="00D431DE" w:rsidP="00D431DE">
                            <w:pPr>
                              <w:pStyle w:val="Caption"/>
                              <w:jc w:val="both"/>
                              <w:rPr>
                                <w:rFonts w:asciiTheme="minorHAnsi" w:hAnsiTheme="minorHAnsi" w:cstheme="minorHAnsi"/>
                                <w:i w:val="0"/>
                                <w:iCs w:val="0"/>
                                <w:noProof/>
                                <w:color w:val="000000" w:themeColor="text1"/>
                              </w:rPr>
                            </w:pPr>
                            <w:r w:rsidRPr="00D431DE">
                              <w:rPr>
                                <w:rFonts w:asciiTheme="minorHAnsi" w:hAnsiTheme="minorHAnsi" w:cstheme="minorHAnsi"/>
                                <w:i w:val="0"/>
                                <w:iCs w:val="0"/>
                                <w:color w:val="000000" w:themeColor="text1"/>
                              </w:rPr>
                              <w:t xml:space="preserve">Figure </w:t>
                            </w:r>
                            <w:r w:rsidRPr="00D431DE">
                              <w:rPr>
                                <w:rFonts w:asciiTheme="minorHAnsi" w:hAnsiTheme="minorHAnsi" w:cstheme="minorHAnsi"/>
                                <w:i w:val="0"/>
                                <w:iCs w:val="0"/>
                                <w:color w:val="000000" w:themeColor="text1"/>
                              </w:rPr>
                              <w:fldChar w:fldCharType="begin"/>
                            </w:r>
                            <w:r w:rsidRPr="00D431DE">
                              <w:rPr>
                                <w:rFonts w:asciiTheme="minorHAnsi" w:hAnsiTheme="minorHAnsi" w:cstheme="minorHAnsi"/>
                                <w:i w:val="0"/>
                                <w:iCs w:val="0"/>
                                <w:color w:val="000000" w:themeColor="text1"/>
                              </w:rPr>
                              <w:instrText xml:space="preserve"> SEQ Figure \* ARABIC </w:instrText>
                            </w:r>
                            <w:r w:rsidRPr="00D431DE">
                              <w:rPr>
                                <w:rFonts w:asciiTheme="minorHAnsi" w:hAnsiTheme="minorHAnsi" w:cstheme="minorHAnsi"/>
                                <w:i w:val="0"/>
                                <w:iCs w:val="0"/>
                                <w:color w:val="000000" w:themeColor="text1"/>
                              </w:rPr>
                              <w:fldChar w:fldCharType="separate"/>
                            </w:r>
                            <w:r w:rsidRPr="00D431DE">
                              <w:rPr>
                                <w:rFonts w:asciiTheme="minorHAnsi" w:hAnsiTheme="minorHAnsi" w:cstheme="minorHAnsi"/>
                                <w:i w:val="0"/>
                                <w:iCs w:val="0"/>
                                <w:noProof/>
                                <w:color w:val="000000" w:themeColor="text1"/>
                              </w:rPr>
                              <w:t>1</w:t>
                            </w:r>
                            <w:r w:rsidRPr="00D431DE">
                              <w:rPr>
                                <w:rFonts w:asciiTheme="minorHAnsi" w:hAnsiTheme="minorHAnsi" w:cstheme="minorHAnsi"/>
                                <w:i w:val="0"/>
                                <w:iCs w:val="0"/>
                                <w:color w:val="000000" w:themeColor="text1"/>
                              </w:rPr>
                              <w:fldChar w:fldCharType="end"/>
                            </w:r>
                            <w:r w:rsidRPr="00D431DE">
                              <w:rPr>
                                <w:rFonts w:asciiTheme="minorHAnsi" w:hAnsiTheme="minorHAnsi" w:cstheme="minorHAnsi"/>
                                <w:i w:val="0"/>
                                <w:iCs w:val="0"/>
                                <w:color w:val="000000" w:themeColor="text1"/>
                              </w:rPr>
                              <w:t>: Schematic representing the behaviour of hybrid charge shifting/self-immolative nanoparticles in response to a decrease in pH.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1D2FAD" id="_x0000_t202" coordsize="21600,21600" o:spt="202" path="m,l,21600r21600,l21600,xe">
                <v:stroke joinstyle="miter"/>
                <v:path gradientshapeok="t" o:connecttype="rect"/>
              </v:shapetype>
              <v:shape id="Text Box 1" o:spid="_x0000_s1026" type="#_x0000_t202" style="position:absolute;left:0;text-align:left;margin-left:153.7pt;margin-top:49pt;width:327pt;height:26.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" stroked="f">
                <v:textbox inset="0,0,0,0">
                  <w:txbxContent>
                    <w:p w:rsidR="00D431DE" w:rsidRPr="00D431DE" w:rsidRDefault="00D431DE" w:rsidP="00D431DE">
                      <w:pPr>
                        <w:pStyle w:val="Caption"/>
                        <w:jc w:val="both"/>
                        <w:rPr>
                          <w:rFonts w:asciiTheme="minorHAnsi" w:hAnsiTheme="minorHAnsi" w:cstheme="minorHAnsi"/>
                          <w:i w:val="0"/>
                          <w:iCs w:val="0"/>
                          <w:noProof/>
                          <w:color w:val="000000" w:themeColor="text1"/>
                        </w:rPr>
                      </w:pPr>
                      <w:r w:rsidRPr="00D431DE">
                        <w:rPr>
                          <w:rFonts w:asciiTheme="minorHAnsi" w:hAnsiTheme="minorHAnsi" w:cstheme="minorHAnsi"/>
                          <w:i w:val="0"/>
                          <w:iCs w:val="0"/>
                          <w:color w:val="000000" w:themeColor="text1"/>
                        </w:rPr>
                        <w:t xml:space="preserve">Figure </w:t>
                      </w:r>
                      <w:r w:rsidRPr="00D431DE">
                        <w:rPr>
                          <w:rFonts w:asciiTheme="minorHAnsi" w:hAnsiTheme="minorHAnsi" w:cstheme="minorHAnsi"/>
                          <w:i w:val="0"/>
                          <w:iCs w:val="0"/>
                          <w:color w:val="000000" w:themeColor="text1"/>
                        </w:rPr>
                        <w:fldChar w:fldCharType="begin"/>
                      </w:r>
                      <w:r w:rsidRPr="00D431DE">
                        <w:rPr>
                          <w:rFonts w:asciiTheme="minorHAnsi" w:hAnsiTheme="minorHAnsi" w:cstheme="minorHAnsi"/>
                          <w:i w:val="0"/>
                          <w:iCs w:val="0"/>
                          <w:color w:val="000000" w:themeColor="text1"/>
                        </w:rPr>
                        <w:instrText xml:space="preserve"> SEQ Figure \* ARABIC </w:instrText>
                      </w:r>
                      <w:r w:rsidRPr="00D431DE">
                        <w:rPr>
                          <w:rFonts w:asciiTheme="minorHAnsi" w:hAnsiTheme="minorHAnsi" w:cstheme="minorHAnsi"/>
                          <w:i w:val="0"/>
                          <w:iCs w:val="0"/>
                          <w:color w:val="000000" w:themeColor="text1"/>
                        </w:rPr>
                        <w:fldChar w:fldCharType="separate"/>
                      </w:r>
                      <w:r w:rsidRPr="00D431DE">
                        <w:rPr>
                          <w:rFonts w:asciiTheme="minorHAnsi" w:hAnsiTheme="minorHAnsi" w:cstheme="minorHAnsi"/>
                          <w:i w:val="0"/>
                          <w:iCs w:val="0"/>
                          <w:noProof/>
                          <w:color w:val="000000" w:themeColor="text1"/>
                        </w:rPr>
                        <w:t>1</w:t>
                      </w:r>
                      <w:r w:rsidRPr="00D431DE">
                        <w:rPr>
                          <w:rFonts w:asciiTheme="minorHAnsi" w:hAnsiTheme="minorHAnsi" w:cstheme="minorHAnsi"/>
                          <w:i w:val="0"/>
                          <w:iCs w:val="0"/>
                          <w:color w:val="000000" w:themeColor="text1"/>
                        </w:rPr>
                        <w:fldChar w:fldCharType="end"/>
                      </w:r>
                      <w:r w:rsidRPr="00D431DE">
                        <w:rPr>
                          <w:rFonts w:asciiTheme="minorHAnsi" w:hAnsiTheme="minorHAnsi" w:cstheme="minorHAnsi"/>
                          <w:i w:val="0"/>
                          <w:iCs w:val="0"/>
                          <w:color w:val="000000" w:themeColor="text1"/>
                        </w:rPr>
                        <w:t>: Schematic representing the behaviour of hybrid charge shifting/self-immolative nanoparticles in response to a decrease in pH.</w:t>
                      </w:r>
                    </w:p>
                  </w:txbxContent>
                </v:textbox>
                <w10:wrap type="square"/>
              </v:shape>
            </w:pict>
          </mc:Fallback>
        </mc:AlternateContent>
      </w:r>
      <w:r w:rsidR="00711813" w:rsidRPr="006B3866">
        <w:rPr>
          <w:rFonts w:ascii="Calibri" w:hAnsi="Calibri" w:cs="Calibri"/>
          <w:sz w:val="22"/>
          <w:szCs w:val="22"/>
          <w:lang w:val="en-AU"/>
        </w:rPr>
        <w:t>Results</w:t>
      </w:r>
      <w:r w:rsidR="001E51DE">
        <w:rPr>
          <w:rFonts w:ascii="Calibri" w:hAnsi="Calibri" w:cs="Calibri"/>
          <w:sz w:val="22"/>
          <w:szCs w:val="22"/>
          <w:lang w:val="en-AU"/>
        </w:rPr>
        <w:t xml:space="preserve"> and Discussion</w:t>
      </w:r>
      <w:r w:rsidR="00711813" w:rsidRPr="006B3866">
        <w:rPr>
          <w:rFonts w:ascii="Calibri" w:hAnsi="Calibri" w:cs="Calibri"/>
          <w:sz w:val="22"/>
          <w:szCs w:val="22"/>
          <w:lang w:val="en-AU"/>
        </w:rPr>
        <w:t xml:space="preserve">. </w:t>
      </w:r>
      <w:r w:rsidR="001E51DE">
        <w:rPr>
          <w:rFonts w:ascii="Calibri" w:hAnsi="Calibri" w:cs="Calibri"/>
          <w:sz w:val="22"/>
          <w:szCs w:val="22"/>
          <w:lang w:val="en-AU"/>
        </w:rPr>
        <w:t>Charge-shifting nanoparticles were synthesised by the combination of  a poly(ethylene glycol)-b-poly(2-(diethylamino)ethyl methacrylate (PDEAEMA) block copolymer with a random copolymer comprised of different mol ratios of charge shifting monomers, 2-(diethylamino)ethyl methacrylate (DEAEMA)  and 2-(diisopropylamino)ethyl methacrylate (DPAEMA) (1:0, 3:1, 1:1, 1:3 and 0:1) using nanoprecipitation. It was shown the pH o</w:t>
      </w:r>
      <w:bookmarkStart w:id="0" w:name="_GoBack"/>
      <w:bookmarkEnd w:id="0"/>
      <w:r w:rsidR="001E51DE">
        <w:rPr>
          <w:rFonts w:ascii="Calibri" w:hAnsi="Calibri" w:cs="Calibri"/>
          <w:sz w:val="22"/>
          <w:szCs w:val="22"/>
          <w:lang w:val="en-AU"/>
        </w:rPr>
        <w:t xml:space="preserve">f disassembly could be tuned </w:t>
      </w:r>
      <w:r w:rsidR="001E51DE">
        <w:rPr>
          <w:rFonts w:ascii="Calibri" w:hAnsi="Calibri" w:cs="Calibri"/>
          <w:sz w:val="22"/>
          <w:szCs w:val="22"/>
          <w:lang w:val="en-AU"/>
        </w:rPr>
        <w:t>from pH 4.9 to pH 7.2</w:t>
      </w:r>
      <w:r w:rsidR="001E51DE">
        <w:rPr>
          <w:rFonts w:ascii="Calibri" w:hAnsi="Calibri" w:cs="Calibri"/>
          <w:sz w:val="22"/>
          <w:szCs w:val="22"/>
          <w:lang w:val="en-AU"/>
        </w:rPr>
        <w:t xml:space="preserve"> by the pKa of the random copolymer.</w:t>
      </w:r>
      <w:r w:rsidRPr="00D431DE">
        <w:rPr>
          <w:rFonts w:ascii="Calibri" w:hAnsi="Calibri" w:cs="Calibri"/>
          <w:sz w:val="22"/>
          <w:szCs w:val="22"/>
          <w:vertAlign w:val="superscript"/>
          <w:lang w:val="en-AU"/>
        </w:rPr>
        <w:t>2</w:t>
      </w:r>
      <w:r w:rsidR="001E51DE">
        <w:rPr>
          <w:rFonts w:ascii="Calibri" w:hAnsi="Calibri" w:cs="Calibri"/>
          <w:sz w:val="22"/>
          <w:szCs w:val="22"/>
          <w:lang w:val="en-AU"/>
        </w:rPr>
        <w:t xml:space="preserve"> </w:t>
      </w:r>
      <w:r w:rsidR="001E51DE" w:rsidRPr="001E51DE">
        <w:rPr>
          <w:rFonts w:asciiTheme="minorHAnsi" w:hAnsiTheme="minorHAnsi" w:cstheme="minorHAnsi"/>
          <w:sz w:val="22"/>
          <w:szCs w:val="22"/>
        </w:rPr>
        <w:t xml:space="preserve">In addition, an interesting trend of endosomal escape was observed across the particle library. Highest escape (&gt;60%) was observed with nanoparticles that disassembled at either extreme of pH, e.g. </w:t>
      </w:r>
      <w:r w:rsidR="001E51DE">
        <w:rPr>
          <w:rFonts w:asciiTheme="minorHAnsi" w:hAnsiTheme="minorHAnsi" w:cstheme="minorHAnsi"/>
          <w:sz w:val="22"/>
          <w:szCs w:val="22"/>
        </w:rPr>
        <w:t>DEAEMA particle (1:0)</w:t>
      </w:r>
      <w:r w:rsidR="001E51DE" w:rsidRPr="001E51DE">
        <w:rPr>
          <w:rFonts w:asciiTheme="minorHAnsi" w:hAnsiTheme="minorHAnsi" w:cstheme="minorHAnsi"/>
          <w:sz w:val="22"/>
          <w:szCs w:val="22"/>
        </w:rPr>
        <w:t xml:space="preserve"> </w:t>
      </w:r>
      <w:r w:rsidR="001E51DE">
        <w:rPr>
          <w:rFonts w:asciiTheme="minorHAnsi" w:hAnsiTheme="minorHAnsi" w:cstheme="minorHAnsi"/>
          <w:sz w:val="22"/>
          <w:szCs w:val="22"/>
        </w:rPr>
        <w:t xml:space="preserve">at </w:t>
      </w:r>
      <w:r w:rsidR="001E51DE" w:rsidRPr="001E51DE">
        <w:rPr>
          <w:rFonts w:asciiTheme="minorHAnsi" w:hAnsiTheme="minorHAnsi" w:cstheme="minorHAnsi"/>
          <w:sz w:val="22"/>
          <w:szCs w:val="22"/>
        </w:rPr>
        <w:t xml:space="preserve">pH 7.2 and </w:t>
      </w:r>
      <w:r w:rsidR="001E51DE">
        <w:rPr>
          <w:rFonts w:asciiTheme="minorHAnsi" w:hAnsiTheme="minorHAnsi" w:cstheme="minorHAnsi"/>
          <w:sz w:val="22"/>
          <w:szCs w:val="22"/>
        </w:rPr>
        <w:t xml:space="preserve">the </w:t>
      </w:r>
      <w:r w:rsidR="001E51DE" w:rsidRPr="001E51DE">
        <w:rPr>
          <w:rFonts w:asciiTheme="minorHAnsi" w:hAnsiTheme="minorHAnsi" w:cstheme="minorHAnsi"/>
          <w:sz w:val="22"/>
          <w:szCs w:val="22"/>
        </w:rPr>
        <w:t>DPAEMA</w:t>
      </w:r>
      <w:r w:rsidR="001E51DE">
        <w:rPr>
          <w:rFonts w:asciiTheme="minorHAnsi" w:hAnsiTheme="minorHAnsi" w:cstheme="minorHAnsi"/>
          <w:sz w:val="22"/>
          <w:szCs w:val="22"/>
        </w:rPr>
        <w:t xml:space="preserve"> particle</w:t>
      </w:r>
      <w:r w:rsidR="001E51DE" w:rsidRPr="001E51DE">
        <w:rPr>
          <w:rFonts w:asciiTheme="minorHAnsi" w:hAnsiTheme="minorHAnsi" w:cstheme="minorHAnsi"/>
          <w:sz w:val="22"/>
          <w:szCs w:val="22"/>
        </w:rPr>
        <w:t xml:space="preserve"> </w:t>
      </w:r>
      <w:r w:rsidR="001E51DE">
        <w:rPr>
          <w:rFonts w:asciiTheme="minorHAnsi" w:hAnsiTheme="minorHAnsi" w:cstheme="minorHAnsi"/>
          <w:sz w:val="22"/>
          <w:szCs w:val="22"/>
        </w:rPr>
        <w:t xml:space="preserve">(0:1) at </w:t>
      </w:r>
      <w:r w:rsidR="001E51DE" w:rsidRPr="001E51DE">
        <w:rPr>
          <w:rFonts w:asciiTheme="minorHAnsi" w:hAnsiTheme="minorHAnsi" w:cstheme="minorHAnsi"/>
          <w:sz w:val="22"/>
          <w:szCs w:val="22"/>
        </w:rPr>
        <w:t>pH 4.9. In contrast there was minimal endosomal escape for 1:1 DEAEMA: DPAEMA (pH 6.2).</w:t>
      </w:r>
      <w:r w:rsidR="001E51DE" w:rsidRPr="00F6602B">
        <w:t xml:space="preserve"> </w:t>
      </w:r>
      <w:r w:rsidR="001E51DE">
        <w:rPr>
          <w:rFonts w:ascii="Calibri" w:hAnsi="Calibri" w:cs="Calibri"/>
          <w:sz w:val="22"/>
          <w:szCs w:val="22"/>
          <w:lang w:val="en-AU"/>
        </w:rPr>
        <w:t xml:space="preserve"> To design nanoparticles that combined charge-shifting and self-immolative properties, the random copolymer that formed the core was replaced with a poly(ethyl glyoxylate) variant. It was shown that these particles disassembled and then depolymerised with a decrease in pH. It was also shown these hybrid materials demonstrated enhanced ability to release protein cargo compared to the charge-shifting nanoparticles. The endosomal escape properties of these nanoparticles were compared using the calcein assa</w:t>
      </w:r>
      <w:r>
        <w:rPr>
          <w:rFonts w:ascii="Calibri" w:hAnsi="Calibri" w:cs="Calibri"/>
          <w:sz w:val="22"/>
          <w:szCs w:val="22"/>
          <w:lang w:val="en-AU"/>
        </w:rPr>
        <w:t xml:space="preserve">y. </w:t>
      </w:r>
      <w:r w:rsidR="001E51DE" w:rsidRPr="001E51DE">
        <w:rPr>
          <w:rFonts w:asciiTheme="minorHAnsi" w:hAnsiTheme="minorHAnsi" w:cstheme="minorHAnsi"/>
          <w:color w:val="000000"/>
          <w:sz w:val="22"/>
          <w:szCs w:val="22"/>
        </w:rPr>
        <w:t xml:space="preserve">These modular and responsive nanoparticles </w:t>
      </w:r>
      <w:r w:rsidR="001E51DE">
        <w:rPr>
          <w:rFonts w:asciiTheme="minorHAnsi" w:hAnsiTheme="minorHAnsi" w:cstheme="minorHAnsi"/>
          <w:color w:val="000000"/>
          <w:sz w:val="22"/>
          <w:szCs w:val="22"/>
        </w:rPr>
        <w:t xml:space="preserve">combine </w:t>
      </w:r>
      <w:r w:rsidR="001E51DE" w:rsidRPr="001E51DE">
        <w:rPr>
          <w:rFonts w:asciiTheme="minorHAnsi" w:hAnsiTheme="minorHAnsi" w:cstheme="minorHAnsi"/>
          <w:color w:val="000000"/>
          <w:sz w:val="22"/>
          <w:szCs w:val="22"/>
        </w:rPr>
        <w:t xml:space="preserve">tunable </w:t>
      </w:r>
      <w:r w:rsidR="001E51DE">
        <w:rPr>
          <w:rFonts w:asciiTheme="minorHAnsi" w:hAnsiTheme="minorHAnsi" w:cstheme="minorHAnsi"/>
          <w:color w:val="000000"/>
          <w:sz w:val="22"/>
          <w:szCs w:val="22"/>
        </w:rPr>
        <w:t xml:space="preserve">drug release with the ability to facilitate endosomal escape, </w:t>
      </w:r>
      <w:r w:rsidR="001E51DE" w:rsidRPr="001E51DE">
        <w:rPr>
          <w:rFonts w:asciiTheme="minorHAnsi" w:hAnsiTheme="minorHAnsi" w:cstheme="minorHAnsi"/>
          <w:color w:val="000000"/>
          <w:sz w:val="22"/>
          <w:szCs w:val="22"/>
        </w:rPr>
        <w:t xml:space="preserve">thus </w:t>
      </w:r>
      <w:r w:rsidR="001E51DE">
        <w:rPr>
          <w:rFonts w:asciiTheme="minorHAnsi" w:hAnsiTheme="minorHAnsi" w:cstheme="minorHAnsi"/>
          <w:color w:val="000000"/>
          <w:sz w:val="22"/>
          <w:szCs w:val="22"/>
        </w:rPr>
        <w:t xml:space="preserve">they </w:t>
      </w:r>
      <w:r w:rsidR="001E51DE" w:rsidRPr="001E51DE">
        <w:rPr>
          <w:rFonts w:asciiTheme="minorHAnsi" w:hAnsiTheme="minorHAnsi" w:cstheme="minorHAnsi"/>
          <w:color w:val="000000"/>
          <w:sz w:val="22"/>
          <w:szCs w:val="22"/>
        </w:rPr>
        <w:t>offer potential for the delivery of biological therapeutics.</w:t>
      </w:r>
    </w:p>
    <w:p w:rsidR="004E5450" w:rsidRDefault="004E5450" w:rsidP="00711813">
      <w:pPr>
        <w:jc w:val="both"/>
        <w:rPr>
          <w:rFonts w:ascii="Calibri" w:hAnsi="Calibri" w:cs="Calibri"/>
          <w:sz w:val="22"/>
          <w:szCs w:val="22"/>
          <w:lang w:val="en-AU"/>
        </w:rPr>
      </w:pPr>
    </w:p>
    <w:p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rsidR="00D431DE" w:rsidRDefault="001E51DE" w:rsidP="00D431DE">
      <w:pPr>
        <w:numPr>
          <w:ilvl w:val="0"/>
          <w:numId w:val="1"/>
        </w:numPr>
        <w:shd w:val="clear" w:color="auto" w:fill="FFFFFF"/>
        <w:ind w:left="284" w:hanging="284"/>
        <w:textAlignment w:val="top"/>
        <w:rPr>
          <w:rFonts w:asciiTheme="minorHAnsi" w:hAnsiTheme="minorHAnsi" w:cstheme="minorHAnsi"/>
          <w:sz w:val="22"/>
          <w:szCs w:val="22"/>
          <w:lang w:eastAsia="en-AU"/>
        </w:rPr>
      </w:pPr>
      <w:r>
        <w:rPr>
          <w:rFonts w:asciiTheme="minorHAnsi" w:hAnsiTheme="minorHAnsi" w:cstheme="minorHAnsi"/>
          <w:sz w:val="22"/>
          <w:szCs w:val="22"/>
        </w:rPr>
        <w:t>Smith, S. A., Selby, L. I., Johnston, A. P. R. &amp; Such, G. K (2019)</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The Endosomal Escape of Nanoparticles: Towards More Efficient Cellular Delivery</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Bioconj. Chem</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30, 263-272.</w:t>
      </w:r>
    </w:p>
    <w:p w:rsidR="00F97620" w:rsidRPr="00D431DE" w:rsidRDefault="001E51DE" w:rsidP="00D431DE">
      <w:pPr>
        <w:numPr>
          <w:ilvl w:val="0"/>
          <w:numId w:val="1"/>
        </w:numPr>
        <w:shd w:val="clear" w:color="auto" w:fill="FFFFFF"/>
        <w:ind w:left="284" w:hanging="284"/>
        <w:textAlignment w:val="top"/>
        <w:rPr>
          <w:rFonts w:asciiTheme="minorHAnsi" w:hAnsiTheme="minorHAnsi" w:cstheme="minorHAnsi"/>
          <w:sz w:val="22"/>
          <w:szCs w:val="22"/>
          <w:lang w:eastAsia="en-AU"/>
        </w:rPr>
      </w:pPr>
      <w:r w:rsidRPr="00D431DE">
        <w:rPr>
          <w:rFonts w:asciiTheme="minorHAnsi" w:hAnsiTheme="minorHAnsi" w:cstheme="minorHAnsi"/>
          <w:sz w:val="22"/>
          <w:szCs w:val="22"/>
          <w:lang w:eastAsia="en-AU"/>
        </w:rPr>
        <w:t xml:space="preserve">Kongkatigumjorn, N., Smith, S. A., Chen, M., Fang, K., Yang, S., Gillies, E. R., Johnston, A. P. R. &amp; Such, G.  K (2018). </w:t>
      </w:r>
      <w:r w:rsidRPr="00D431DE">
        <w:rPr>
          <w:rFonts w:asciiTheme="minorHAnsi" w:hAnsiTheme="minorHAnsi" w:cstheme="minorHAnsi"/>
          <w:sz w:val="22"/>
          <w:szCs w:val="22"/>
        </w:rPr>
        <w:t>Controlling Endosomal Escape Using pH-Responsive Nanoparticles with Tunable Disassembly</w:t>
      </w:r>
      <w:r w:rsidRPr="00D431DE">
        <w:rPr>
          <w:rFonts w:asciiTheme="minorHAnsi" w:hAnsiTheme="minorHAnsi" w:cstheme="minorHAnsi"/>
          <w:sz w:val="22"/>
          <w:szCs w:val="22"/>
        </w:rPr>
        <w:t>.</w:t>
      </w:r>
      <w:r>
        <w:t xml:space="preserve"> </w:t>
      </w:r>
      <w:r w:rsidRPr="00D431DE">
        <w:rPr>
          <w:rFonts w:asciiTheme="minorHAnsi" w:hAnsiTheme="minorHAnsi" w:cstheme="minorHAnsi"/>
          <w:sz w:val="22"/>
          <w:szCs w:val="22"/>
          <w:lang w:eastAsia="en-AU"/>
        </w:rPr>
        <w:t>ACS Appl. Nanomaterials,</w:t>
      </w:r>
      <w:r w:rsidRPr="00D431DE">
        <w:rPr>
          <w:rFonts w:asciiTheme="minorHAnsi" w:hAnsiTheme="minorHAnsi" w:cstheme="minorHAnsi"/>
          <w:sz w:val="22"/>
          <w:szCs w:val="22"/>
          <w:lang w:eastAsia="en-AU"/>
        </w:rPr>
        <w:t xml:space="preserve"> 1, 3164-3173.</w:t>
      </w:r>
    </w:p>
    <w:sectPr w:rsidR="00F97620" w:rsidRPr="00D431DE"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oNotTrackMoves/>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1A21AD"/>
    <w:rsid w:val="001E51DE"/>
    <w:rsid w:val="002078AD"/>
    <w:rsid w:val="002226BB"/>
    <w:rsid w:val="00225236"/>
    <w:rsid w:val="002272B0"/>
    <w:rsid w:val="00300B92"/>
    <w:rsid w:val="0030585E"/>
    <w:rsid w:val="0037596F"/>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909C9"/>
    <w:rsid w:val="00947B77"/>
    <w:rsid w:val="009B2641"/>
    <w:rsid w:val="009E2228"/>
    <w:rsid w:val="009F06D6"/>
    <w:rsid w:val="00A266B4"/>
    <w:rsid w:val="00BC5FCC"/>
    <w:rsid w:val="00C56D38"/>
    <w:rsid w:val="00C60A71"/>
    <w:rsid w:val="00CC165A"/>
    <w:rsid w:val="00D431DE"/>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Caption">
    <w:name w:val="caption"/>
    <w:basedOn w:val="Normal"/>
    <w:next w:val="Normal"/>
    <w:uiPriority w:val="35"/>
    <w:unhideWhenUsed/>
    <w:qFormat/>
    <w:rsid w:val="00D431D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4196</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Microsoft Office User</dc:creator>
  <cp:keywords/>
  <cp:lastModifiedBy>Georgina Such</cp:lastModifiedBy>
  <cp:revision>4</cp:revision>
  <cp:lastPrinted>2013-06-13T05:15:00Z</cp:lastPrinted>
  <dcterms:created xsi:type="dcterms:W3CDTF">2019-08-06T05:52:00Z</dcterms:created>
  <dcterms:modified xsi:type="dcterms:W3CDTF">2019-08-06T08:08:00Z</dcterms:modified>
</cp:coreProperties>
</file>