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669E6DE3" w:rsidR="00C315D2" w:rsidRPr="009D1651" w:rsidRDefault="009D1651" w:rsidP="5E2C5F31">
      <w:pPr>
        <w:spacing w:after="0" w:line="240" w:lineRule="auto"/>
        <w:rPr>
          <w:rFonts w:ascii="Arial" w:hAnsi="Arial" w:cs="Calibri"/>
          <w:b/>
          <w:bCs/>
          <w:kern w:val="0"/>
          <w:lang w:val="en-US" w:eastAsia="ja-JP"/>
          <w14:ligatures w14:val="none"/>
        </w:rPr>
      </w:pPr>
      <w:r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C</w:t>
      </w:r>
      <w:r w:rsidRPr="009D1651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olloidal </w:t>
      </w:r>
      <w:r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D</w:t>
      </w:r>
      <w:r w:rsidRPr="009D1651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ispersions of </w:t>
      </w:r>
      <w:r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D</w:t>
      </w:r>
      <w:r w:rsidRPr="009D1651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rug </w:t>
      </w:r>
      <w:r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N</w:t>
      </w:r>
      <w:r w:rsidRPr="009D1651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anoparticles </w:t>
      </w:r>
      <w:r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O</w:t>
      </w:r>
      <w:r w:rsidRPr="009D1651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btained from </w:t>
      </w:r>
      <w:r w:rsidR="00792563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 xml:space="preserve">Drug/Polymer/Surfactant </w:t>
      </w:r>
      <w:r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T</w:t>
      </w:r>
      <w:r w:rsidRPr="009D1651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ernary </w:t>
      </w:r>
      <w:r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S</w:t>
      </w:r>
      <w:r w:rsidRPr="009D1651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olid </w:t>
      </w:r>
      <w:r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D</w:t>
      </w:r>
      <w:r w:rsidRPr="009D1651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ispersions</w:t>
      </w:r>
    </w:p>
    <w:p w14:paraId="79141BD9" w14:textId="68905676" w:rsidR="00C315D2" w:rsidRPr="009D1651" w:rsidRDefault="009D1651" w:rsidP="00C315D2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hAnsi="Arial" w:cs="Calibri" w:hint="eastAsia"/>
          <w:b/>
          <w:kern w:val="0"/>
          <w:sz w:val="20"/>
          <w:szCs w:val="20"/>
          <w:u w:val="single"/>
          <w:lang w:eastAsia="ja-JP"/>
          <w14:ligatures w14:val="none"/>
        </w:rPr>
        <w:t>Kenjirou Higashi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Keisuke Ueda, Kunikazu Moribe</w:t>
      </w:r>
    </w:p>
    <w:p w14:paraId="137D4547" w14:textId="10CA5835" w:rsidR="00C315D2" w:rsidRPr="009D1651" w:rsidRDefault="009D1651" w:rsidP="4FE71DF4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Graduate School of Pharmaceutical Sciences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Chiba </w:t>
      </w:r>
      <w:r w:rsidR="00792563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University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Chiba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Japan</w:t>
      </w:r>
    </w:p>
    <w:p w14:paraId="2DD37039" w14:textId="020B3F82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2385039D" w14:textId="37281627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D1651" w:rsidRPr="009D165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Colloidal dispersions obtained from solid dispersion (SD) have attracted </w:t>
      </w:r>
      <w:r w:rsidR="007925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much</w:t>
      </w:r>
      <w:r w:rsidR="009D1651" w:rsidRPr="009D165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925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attention</w:t>
      </w:r>
      <w:r w:rsidR="009D1651" w:rsidRPr="009D165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for improving drug solubility and oral absorption of poorly water-soluble drugs. </w:t>
      </w:r>
      <w:r w:rsidR="007925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Based on the molecular-level evaluation, the present study reports the formation and stabilization mechanism of colloidal dispersions obtained from drug/polymer/surfactant ternary SDs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055F0770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D1651" w:rsidRPr="009D165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ternary SDs were prepared by hot-melt extrusion, spray-drying, and co-grinding. The molecular states of ternary SDs and colloidal dispersions were evaluated </w:t>
      </w:r>
      <w:r w:rsidR="007925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using</w:t>
      </w:r>
      <w:r w:rsidR="009D1651" w:rsidRPr="009D165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solid-state NMR, </w:t>
      </w:r>
      <w:r w:rsidR="00792563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cryogenic </w:t>
      </w:r>
      <w:r w:rsidR="00792563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transmission</w:t>
      </w:r>
      <w:r w:rsidR="00792563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electron microscopy (</w:t>
      </w:r>
      <w:r w:rsidR="009D1651" w:rsidRPr="009D165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cryo-TEM</w:t>
      </w:r>
      <w:r w:rsidR="00792563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)</w:t>
      </w:r>
      <w:r w:rsidR="009D1651" w:rsidRPr="009D165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and </w:t>
      </w:r>
      <w:r w:rsidR="00792563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atomic force microscopy (</w:t>
      </w:r>
      <w:r w:rsidR="009D1651" w:rsidRPr="009D165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AFM</w:t>
      </w:r>
      <w:r w:rsidR="00792563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)</w:t>
      </w:r>
      <w:r w:rsidR="009D1651" w:rsidRPr="009D165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58EE2702" w14:textId="33A62E45" w:rsidR="00C315D2" w:rsidRPr="00C315D2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9D1651" w:rsidRPr="009D1651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Polymers and surfactants in ternary SDs contribute to </w:t>
      </w:r>
      <w:r w:rsidR="0079256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the </w:t>
      </w:r>
      <w:r w:rsidR="009D1651" w:rsidRPr="009D1651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size reduction of drug domains, in addition to stabilizing the colloidal dispersions of drug nanoparticles. Preparation conditions, the polymer and surfactant species, and the weight ratio of ternary components are </w:t>
      </w:r>
      <w:r w:rsidR="0079256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essential</w:t>
      </w:r>
      <w:r w:rsidR="009D1651" w:rsidRPr="009D1651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to obtain colloidal dispersions of small and stable drug nanoparticles, because they significantly affect the molecular states of </w:t>
      </w:r>
      <w:r w:rsidR="0079256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the </w:t>
      </w:r>
      <w:r w:rsidR="009D1651" w:rsidRPr="009D1651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drug in ternary SDs.</w:t>
      </w:r>
    </w:p>
    <w:p w14:paraId="777A9E0F" w14:textId="14247D1A" w:rsidR="2021B9E9" w:rsidRDefault="2021B9E9" w:rsidP="2021B9E9">
      <w:pPr>
        <w:spacing w:after="0" w:line="240" w:lineRule="auto"/>
        <w:jc w:val="both"/>
        <w:rPr>
          <w:rFonts w:ascii="Arial" w:eastAsia="Calibri" w:hAnsi="Arial" w:cs="Calibri"/>
          <w:sz w:val="20"/>
          <w:szCs w:val="20"/>
          <w:lang w:val="en-US"/>
        </w:rPr>
      </w:pPr>
    </w:p>
    <w:p w14:paraId="65E846CD" w14:textId="535AC6B4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D4D70" w:rsidRPr="00CD4D7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The revealed formation and stabilization mechanism of colloidal dispersions will help </w:t>
      </w:r>
      <w:r w:rsidR="00F82B3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to </w:t>
      </w:r>
      <w:r w:rsidR="00CD4D7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design</w:t>
      </w:r>
      <w:r w:rsidR="00CD4D70" w:rsidRPr="00CD4D7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ternary SDs of poorly water-soluble drugs</w:t>
      </w:r>
      <w:r w:rsidR="009D1651" w:rsidRPr="009D165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</w:p>
    <w:p w14:paraId="1AF10CAD" w14:textId="77777777" w:rsidR="00C315D2" w:rsidRDefault="00C315D2" w:rsidP="00C315D2">
      <w:pPr>
        <w:spacing w:after="0" w:line="240" w:lineRule="auto"/>
        <w:jc w:val="both"/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</w:pPr>
    </w:p>
    <w:p w14:paraId="3B2771F0" w14:textId="6ADBA351" w:rsidR="00F51836" w:rsidRDefault="00F51836" w:rsidP="00C315D2">
      <w:pPr>
        <w:spacing w:after="0" w:line="240" w:lineRule="auto"/>
        <w:jc w:val="both"/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</w:pPr>
      <w:r w:rsidRPr="00F51836">
        <w:rPr>
          <w:rFonts w:ascii="Arial" w:hAnsi="Arial" w:cs="Arial"/>
          <w:b/>
          <w:kern w:val="0"/>
          <w:sz w:val="20"/>
          <w:szCs w:val="20"/>
          <w:lang w:eastAsia="ja-JP"/>
          <w14:ligatures w14:val="none"/>
        </w:rPr>
        <w:t>Acknowledgment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>
        <w:rPr>
          <w:rFonts w:ascii="ＭＳ 明朝" w:eastAsia="ＭＳ 明朝" w:hAnsi="ＭＳ 明朝" w:cs="ＭＳ 明朝" w:hint="eastAsia"/>
          <w:b/>
          <w:kern w:val="0"/>
          <w:sz w:val="20"/>
          <w:szCs w:val="20"/>
          <w:lang w:eastAsia="ja-JP"/>
          <w14:ligatures w14:val="none"/>
        </w:rPr>
        <w:t xml:space="preserve"> </w:t>
      </w:r>
      <w:r w:rsidRPr="00F51836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This study was supported by grants from the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Urakami </w:t>
      </w:r>
      <w:r w:rsidRPr="00F51836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Foundation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for Food and Food Culture Promotion</w:t>
      </w:r>
      <w:r w:rsidRPr="00F51836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.</w:t>
      </w:r>
    </w:p>
    <w:p w14:paraId="1EBA195C" w14:textId="77777777" w:rsidR="00F51836" w:rsidRPr="00F51836" w:rsidRDefault="00F51836" w:rsidP="00C315D2">
      <w:pPr>
        <w:spacing w:after="0" w:line="240" w:lineRule="auto"/>
        <w:jc w:val="both"/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</w:pPr>
    </w:p>
    <w:p w14:paraId="2C801966" w14:textId="7E177B43" w:rsidR="00C315D2" w:rsidRPr="009D1651" w:rsidRDefault="00C315D2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</w:p>
    <w:p w14:paraId="495B1BA5" w14:textId="187763E8" w:rsidR="00C315D2" w:rsidRPr="00792563" w:rsidRDefault="009D1651" w:rsidP="00792563">
      <w:pPr>
        <w:pStyle w:val="a9"/>
        <w:numPr>
          <w:ilvl w:val="0"/>
          <w:numId w:val="2"/>
        </w:num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Zhao</w:t>
      </w:r>
      <w:r w:rsidR="00C315D2" w:rsidRPr="00792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</w:t>
      </w:r>
      <w:r w:rsidR="00792563"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Z</w:t>
      </w:r>
      <w:r w:rsidR="00C315D2" w:rsidRPr="00792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. </w:t>
      </w:r>
      <w:r w:rsidR="00792563" w:rsidRPr="00792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et al</w:t>
      </w:r>
      <w:r w:rsidR="00792563"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.,</w:t>
      </w:r>
      <w:r w:rsidR="00792563" w:rsidRPr="00792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C315D2" w:rsidRPr="00792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</w:t>
      </w:r>
      <w:r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2019</w:t>
      </w:r>
      <w:r w:rsidR="00C315D2" w:rsidRPr="00792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Mol</w:t>
      </w:r>
      <w:r w:rsidR="00792563"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.</w:t>
      </w:r>
      <w:r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Pharm</w:t>
      </w:r>
      <w:r w:rsidR="00792563"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.</w:t>
      </w:r>
      <w:r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, 16(5) 2184-2198</w:t>
      </w:r>
    </w:p>
    <w:p w14:paraId="2AEB1AFF" w14:textId="28F0D25F" w:rsidR="00792563" w:rsidRPr="00792563" w:rsidRDefault="00792563" w:rsidP="00792563">
      <w:pPr>
        <w:pStyle w:val="a9"/>
        <w:numPr>
          <w:ilvl w:val="0"/>
          <w:numId w:val="2"/>
        </w:num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proofErr w:type="spellStart"/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Omagari</w:t>
      </w:r>
      <w:proofErr w:type="spellEnd"/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, K et al., (2020) Int. J. Pharm., 591 120003</w:t>
      </w:r>
    </w:p>
    <w:p w14:paraId="185742AC" w14:textId="77777777" w:rsidR="00792563" w:rsidRDefault="009D1651" w:rsidP="00792563">
      <w:pPr>
        <w:pStyle w:val="a9"/>
        <w:numPr>
          <w:ilvl w:val="0"/>
          <w:numId w:val="2"/>
        </w:numPr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Zhao</w:t>
      </w:r>
      <w:r w:rsidR="00C315D2" w:rsidRPr="00792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</w:t>
      </w:r>
      <w:r w:rsidR="00792563"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Z</w:t>
      </w:r>
      <w:r w:rsidR="00C315D2" w:rsidRPr="00792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 et al</w:t>
      </w:r>
      <w:r w:rsidR="00792563"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.,</w:t>
      </w:r>
      <w:r w:rsidR="00C315D2" w:rsidRPr="00792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(20</w:t>
      </w:r>
      <w:r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21</w:t>
      </w:r>
      <w:r w:rsidR="00C315D2" w:rsidRPr="00792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)</w:t>
      </w:r>
      <w:r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I</w:t>
      </w:r>
      <w:r w:rsidRPr="00792563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n</w:t>
      </w:r>
      <w:r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t. J. Pharm., 607, 120984</w:t>
      </w:r>
    </w:p>
    <w:p w14:paraId="462C81CF" w14:textId="73CC6B6C" w:rsidR="00792563" w:rsidRPr="00792563" w:rsidRDefault="00792563" w:rsidP="00792563">
      <w:pPr>
        <w:pStyle w:val="a9"/>
        <w:numPr>
          <w:ilvl w:val="0"/>
          <w:numId w:val="2"/>
        </w:numPr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Hanada</w:t>
      </w:r>
      <w:r w:rsidRPr="00792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</w:t>
      </w:r>
      <w:r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N</w:t>
      </w:r>
      <w:r w:rsidRPr="00792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 et al</w:t>
      </w:r>
      <w:r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.,</w:t>
      </w:r>
      <w:r w:rsidRPr="00792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(20</w:t>
      </w:r>
      <w:r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23</w:t>
      </w:r>
      <w:r w:rsidRPr="007925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)</w:t>
      </w:r>
      <w:r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I</w:t>
      </w:r>
      <w:r w:rsidRPr="00792563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n</w:t>
      </w:r>
      <w:r w:rsidRPr="0079256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t. J. Pharm., 640, 122959</w:t>
      </w:r>
    </w:p>
    <w:p w14:paraId="2244D859" w14:textId="77777777" w:rsidR="00792563" w:rsidRPr="009B1CBB" w:rsidRDefault="00792563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sectPr w:rsidR="00792563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AF99" w14:textId="77777777" w:rsidR="00E95132" w:rsidRDefault="00E95132" w:rsidP="00F82B3E">
      <w:pPr>
        <w:spacing w:after="0" w:line="240" w:lineRule="auto"/>
      </w:pPr>
      <w:r>
        <w:separator/>
      </w:r>
    </w:p>
  </w:endnote>
  <w:endnote w:type="continuationSeparator" w:id="0">
    <w:p w14:paraId="11C8B0E6" w14:textId="77777777" w:rsidR="00E95132" w:rsidRDefault="00E95132" w:rsidP="00F8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3911" w14:textId="77777777" w:rsidR="00E95132" w:rsidRDefault="00E95132" w:rsidP="00F82B3E">
      <w:pPr>
        <w:spacing w:after="0" w:line="240" w:lineRule="auto"/>
      </w:pPr>
      <w:r>
        <w:separator/>
      </w:r>
    </w:p>
  </w:footnote>
  <w:footnote w:type="continuationSeparator" w:id="0">
    <w:p w14:paraId="1407F080" w14:textId="77777777" w:rsidR="00E95132" w:rsidRDefault="00E95132" w:rsidP="00F82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F1B4D"/>
    <w:multiLevelType w:val="hybridMultilevel"/>
    <w:tmpl w:val="02E09E32"/>
    <w:lvl w:ilvl="0" w:tplc="20C21D1C">
      <w:start w:val="1"/>
      <w:numFmt w:val="decimal"/>
      <w:lvlText w:val="(%1)"/>
      <w:lvlJc w:val="left"/>
      <w:pPr>
        <w:ind w:left="360" w:hanging="360"/>
      </w:pPr>
      <w:rPr>
        <w:rFonts w:eastAsia="Calibr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558122">
    <w:abstractNumId w:val="1"/>
  </w:num>
  <w:num w:numId="2" w16cid:durableId="209724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107368"/>
    <w:rsid w:val="00113BB7"/>
    <w:rsid w:val="002017E6"/>
    <w:rsid w:val="00294059"/>
    <w:rsid w:val="003206E4"/>
    <w:rsid w:val="003A6D5C"/>
    <w:rsid w:val="003E3559"/>
    <w:rsid w:val="004A51B6"/>
    <w:rsid w:val="00510CF8"/>
    <w:rsid w:val="00544BB5"/>
    <w:rsid w:val="00575A29"/>
    <w:rsid w:val="005F2F48"/>
    <w:rsid w:val="00601754"/>
    <w:rsid w:val="006A34BE"/>
    <w:rsid w:val="006F3F1C"/>
    <w:rsid w:val="007141F2"/>
    <w:rsid w:val="007561D8"/>
    <w:rsid w:val="00757499"/>
    <w:rsid w:val="00792563"/>
    <w:rsid w:val="00795378"/>
    <w:rsid w:val="00796206"/>
    <w:rsid w:val="007C367E"/>
    <w:rsid w:val="007E5190"/>
    <w:rsid w:val="008071C5"/>
    <w:rsid w:val="00906D34"/>
    <w:rsid w:val="00933DC9"/>
    <w:rsid w:val="00936D4C"/>
    <w:rsid w:val="009523F9"/>
    <w:rsid w:val="009650DF"/>
    <w:rsid w:val="009B1CBB"/>
    <w:rsid w:val="009D1651"/>
    <w:rsid w:val="00A0516D"/>
    <w:rsid w:val="00B4721D"/>
    <w:rsid w:val="00B8473A"/>
    <w:rsid w:val="00C21815"/>
    <w:rsid w:val="00C315D2"/>
    <w:rsid w:val="00C353D8"/>
    <w:rsid w:val="00CD4D70"/>
    <w:rsid w:val="00CF5A91"/>
    <w:rsid w:val="00D02BB1"/>
    <w:rsid w:val="00D45A74"/>
    <w:rsid w:val="00D7428F"/>
    <w:rsid w:val="00E95132"/>
    <w:rsid w:val="00EC3746"/>
    <w:rsid w:val="00F51836"/>
    <w:rsid w:val="00F539FB"/>
    <w:rsid w:val="00F82B3E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82B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2B3E"/>
  </w:style>
  <w:style w:type="paragraph" w:styleId="ac">
    <w:name w:val="footer"/>
    <w:basedOn w:val="a"/>
    <w:link w:val="ad"/>
    <w:uiPriority w:val="99"/>
    <w:unhideWhenUsed/>
    <w:rsid w:val="00F82B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2B3E"/>
  </w:style>
  <w:style w:type="paragraph" w:styleId="ae">
    <w:name w:val="Balloon Text"/>
    <w:basedOn w:val="a"/>
    <w:link w:val="af"/>
    <w:uiPriority w:val="99"/>
    <w:semiHidden/>
    <w:unhideWhenUsed/>
    <w:rsid w:val="00F82B3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2B3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544B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東 顕二郎</cp:lastModifiedBy>
  <cp:revision>2</cp:revision>
  <dcterms:created xsi:type="dcterms:W3CDTF">2025-07-26T05:14:00Z</dcterms:created>
  <dcterms:modified xsi:type="dcterms:W3CDTF">2025-07-26T05:14:00Z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GrammarlyDocumentId">
    <vt:lpwstr>235b426a-95f2-4df6-aa32-81665b0feeb6</vt:lpwstr>
  </property>
</Properties>
</file>