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5ADAAE5C" w:rsidR="00711813" w:rsidRPr="00DF1C8E" w:rsidRDefault="00AD74CA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Hlk10631640"/>
      <w:r w:rsidRPr="00AD74CA">
        <w:rPr>
          <w:rFonts w:ascii="Calibri" w:hAnsi="Calibri" w:cs="Calibri"/>
          <w:b/>
          <w:sz w:val="28"/>
          <w:szCs w:val="28"/>
        </w:rPr>
        <w:t xml:space="preserve">Electrocatalytic </w:t>
      </w:r>
      <w:r w:rsidR="005E04BC">
        <w:rPr>
          <w:rFonts w:ascii="Calibri" w:hAnsi="Calibri" w:cs="Calibri"/>
          <w:b/>
          <w:sz w:val="28"/>
          <w:szCs w:val="28"/>
        </w:rPr>
        <w:t>n</w:t>
      </w:r>
      <w:r w:rsidRPr="00AD74CA">
        <w:rPr>
          <w:rFonts w:ascii="Calibri" w:hAnsi="Calibri" w:cs="Calibri"/>
          <w:b/>
          <w:sz w:val="28"/>
          <w:szCs w:val="28"/>
        </w:rPr>
        <w:t xml:space="preserve">anoparticles </w:t>
      </w:r>
      <w:r w:rsidR="005E04BC">
        <w:rPr>
          <w:rFonts w:ascii="Calibri" w:hAnsi="Calibri" w:cs="Calibri"/>
          <w:b/>
          <w:sz w:val="28"/>
          <w:szCs w:val="28"/>
        </w:rPr>
        <w:t>t</w:t>
      </w:r>
      <w:r w:rsidRPr="00AD74CA">
        <w:rPr>
          <w:rFonts w:ascii="Calibri" w:hAnsi="Calibri" w:cs="Calibri"/>
          <w:b/>
          <w:sz w:val="28"/>
          <w:szCs w:val="28"/>
        </w:rPr>
        <w:t xml:space="preserve">hat </w:t>
      </w:r>
      <w:r w:rsidR="005E04BC">
        <w:rPr>
          <w:rFonts w:ascii="Calibri" w:hAnsi="Calibri" w:cs="Calibri"/>
          <w:b/>
          <w:sz w:val="28"/>
          <w:szCs w:val="28"/>
        </w:rPr>
        <w:t>m</w:t>
      </w:r>
      <w:r w:rsidRPr="00AD74CA">
        <w:rPr>
          <w:rFonts w:ascii="Calibri" w:hAnsi="Calibri" w:cs="Calibri"/>
          <w:b/>
          <w:sz w:val="28"/>
          <w:szCs w:val="28"/>
        </w:rPr>
        <w:t xml:space="preserve">imic the </w:t>
      </w:r>
      <w:r w:rsidR="005E04BC">
        <w:rPr>
          <w:rFonts w:ascii="Calibri" w:hAnsi="Calibri" w:cs="Calibri"/>
          <w:b/>
          <w:sz w:val="28"/>
          <w:szCs w:val="28"/>
        </w:rPr>
        <w:t>t</w:t>
      </w:r>
      <w:r w:rsidRPr="00AD74CA">
        <w:rPr>
          <w:rFonts w:ascii="Calibri" w:hAnsi="Calibri" w:cs="Calibri"/>
          <w:b/>
          <w:sz w:val="28"/>
          <w:szCs w:val="28"/>
        </w:rPr>
        <w:t>hree-</w:t>
      </w:r>
      <w:r w:rsidR="005E04BC">
        <w:rPr>
          <w:rFonts w:ascii="Calibri" w:hAnsi="Calibri" w:cs="Calibri"/>
          <w:b/>
          <w:sz w:val="28"/>
          <w:szCs w:val="28"/>
        </w:rPr>
        <w:t>d</w:t>
      </w:r>
      <w:r w:rsidRPr="00AD74CA">
        <w:rPr>
          <w:rFonts w:ascii="Calibri" w:hAnsi="Calibri" w:cs="Calibri"/>
          <w:b/>
          <w:sz w:val="28"/>
          <w:szCs w:val="28"/>
        </w:rPr>
        <w:t xml:space="preserve">imensional </w:t>
      </w:r>
      <w:r w:rsidR="005E04BC">
        <w:rPr>
          <w:rFonts w:ascii="Calibri" w:hAnsi="Calibri" w:cs="Calibri"/>
          <w:b/>
          <w:sz w:val="28"/>
          <w:szCs w:val="28"/>
        </w:rPr>
        <w:t>g</w:t>
      </w:r>
      <w:r w:rsidRPr="00AD74CA">
        <w:rPr>
          <w:rFonts w:ascii="Calibri" w:hAnsi="Calibri" w:cs="Calibri"/>
          <w:b/>
          <w:sz w:val="28"/>
          <w:szCs w:val="28"/>
        </w:rPr>
        <w:t xml:space="preserve">eometric </w:t>
      </w:r>
      <w:r w:rsidR="005E04BC">
        <w:rPr>
          <w:rFonts w:ascii="Calibri" w:hAnsi="Calibri" w:cs="Calibri"/>
          <w:b/>
          <w:sz w:val="28"/>
          <w:szCs w:val="28"/>
        </w:rPr>
        <w:t>a</w:t>
      </w:r>
      <w:r w:rsidRPr="00AD74CA">
        <w:rPr>
          <w:rFonts w:ascii="Calibri" w:hAnsi="Calibri" w:cs="Calibri"/>
          <w:b/>
          <w:sz w:val="28"/>
          <w:szCs w:val="28"/>
        </w:rPr>
        <w:t xml:space="preserve">rchitecture of </w:t>
      </w:r>
      <w:r w:rsidR="005E04BC">
        <w:rPr>
          <w:rFonts w:ascii="Calibri" w:hAnsi="Calibri" w:cs="Calibri"/>
          <w:b/>
          <w:sz w:val="28"/>
          <w:szCs w:val="28"/>
        </w:rPr>
        <w:t>e</w:t>
      </w:r>
      <w:r w:rsidRPr="00AD74CA">
        <w:rPr>
          <w:rFonts w:ascii="Calibri" w:hAnsi="Calibri" w:cs="Calibri"/>
          <w:b/>
          <w:sz w:val="28"/>
          <w:szCs w:val="28"/>
        </w:rPr>
        <w:t xml:space="preserve">nzymes: </w:t>
      </w:r>
      <w:bookmarkStart w:id="1" w:name="_Hlk15931114"/>
      <w:r w:rsidRPr="00AD74CA">
        <w:rPr>
          <w:rFonts w:ascii="Calibri" w:hAnsi="Calibri" w:cs="Calibri"/>
          <w:b/>
          <w:sz w:val="28"/>
          <w:szCs w:val="28"/>
        </w:rPr>
        <w:t>The importance of nanoscale confinement on electrocatalytic performance</w:t>
      </w:r>
      <w:bookmarkEnd w:id="0"/>
      <w:bookmarkEnd w:id="1"/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28AB90E0" w:rsidR="00DF1C8E" w:rsidRPr="00596D7D" w:rsidRDefault="006B02FA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Johanna</w:t>
      </w:r>
      <w:r w:rsidR="00F43A61" w:rsidRPr="00F43A61">
        <w:rPr>
          <w:rFonts w:ascii="Calibri" w:hAnsi="Calibri" w:cs="Calibri"/>
          <w:i/>
        </w:rPr>
        <w:t xml:space="preserve"> Wordsworth</w:t>
      </w:r>
      <w:r w:rsidR="00F43A61" w:rsidRPr="00F43A61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F43A61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F43A61" w:rsidRPr="005F19FF">
        <w:rPr>
          <w:rFonts w:ascii="Calibri" w:hAnsi="Calibri" w:cs="Calibri"/>
          <w:i/>
          <w:lang w:val="en-AU"/>
        </w:rPr>
        <w:t>,</w:t>
      </w:r>
      <w:r w:rsidR="00F43A61" w:rsidRPr="00F43A61">
        <w:rPr>
          <w:rFonts w:ascii="Calibri" w:hAnsi="Calibri" w:cs="Calibri"/>
          <w:i/>
        </w:rPr>
        <w:t xml:space="preserve"> Tania M. Benedetti</w:t>
      </w:r>
      <w:r w:rsidR="00F43A61" w:rsidRPr="00F43A61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F43A61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F43A61" w:rsidRPr="00F43A61">
        <w:rPr>
          <w:rFonts w:ascii="Calibri" w:hAnsi="Calibri" w:cs="Calibri"/>
          <w:i/>
        </w:rPr>
        <w:t>, Ali A</w:t>
      </w:r>
      <w:bookmarkStart w:id="2" w:name="_Hlk10561730"/>
      <w:r w:rsidR="00F43A61" w:rsidRPr="00F43A61">
        <w:rPr>
          <w:rFonts w:ascii="Calibri" w:hAnsi="Calibri" w:cs="Calibri"/>
          <w:i/>
        </w:rPr>
        <w:t>linezhad</w:t>
      </w:r>
      <w:bookmarkEnd w:id="2"/>
      <w:r w:rsidR="00F43A61" w:rsidRPr="00F43A61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F43A61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F43A61" w:rsidRPr="00F43A61">
        <w:rPr>
          <w:rFonts w:ascii="Calibri" w:hAnsi="Calibri" w:cs="Calibri"/>
          <w:i/>
        </w:rPr>
        <w:t>, Richard D. Tilley</w:t>
      </w:r>
      <w:r w:rsidR="00F43A61" w:rsidRPr="00F43A61">
        <w:rPr>
          <w:rFonts w:ascii="Calibri" w:hAnsi="Calibri" w:cs="Calibri"/>
          <w:i/>
          <w:vertAlign w:val="superscript"/>
          <w:lang w:val="en-AU"/>
        </w:rPr>
        <w:t xml:space="preserve"> 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vertAlign w:val="superscript"/>
          <w:lang w:val="en-AU"/>
        </w:rPr>
        <w:t>, B</w:t>
      </w:r>
      <w:r w:rsidR="00F43A61" w:rsidRPr="00F43A61">
        <w:rPr>
          <w:rFonts w:ascii="Calibri" w:hAnsi="Calibri" w:cs="Calibri"/>
          <w:i/>
        </w:rPr>
        <w:t>, Martin A. Edwards</w:t>
      </w:r>
      <w:r w:rsidR="00F43A61">
        <w:rPr>
          <w:rFonts w:ascii="Calibri" w:hAnsi="Calibri" w:cs="Calibri"/>
          <w:i/>
          <w:vertAlign w:val="superscript"/>
          <w:lang w:val="en-AU"/>
        </w:rPr>
        <w:t>C</w:t>
      </w:r>
      <w:r w:rsidR="00F43A61" w:rsidRPr="00F43A61">
        <w:rPr>
          <w:rFonts w:ascii="Calibri" w:hAnsi="Calibri" w:cs="Calibri"/>
          <w:i/>
        </w:rPr>
        <w:t>, Wolfgang Schuhmann</w:t>
      </w:r>
      <w:r w:rsidR="00F43A61" w:rsidRPr="00F43A61">
        <w:rPr>
          <w:rFonts w:ascii="Calibri" w:hAnsi="Calibri" w:cs="Calibri"/>
          <w:i/>
          <w:vertAlign w:val="superscript"/>
          <w:lang w:val="en-AU"/>
        </w:rPr>
        <w:t xml:space="preserve"> </w:t>
      </w:r>
      <w:r w:rsidR="00F43A61">
        <w:rPr>
          <w:rFonts w:ascii="Calibri" w:hAnsi="Calibri" w:cs="Calibri"/>
          <w:i/>
          <w:vertAlign w:val="superscript"/>
          <w:lang w:val="en-AU"/>
        </w:rPr>
        <w:t>D</w:t>
      </w:r>
      <w:r w:rsidR="00F43A61" w:rsidRPr="00F43A61">
        <w:rPr>
          <w:rFonts w:ascii="Calibri" w:hAnsi="Calibri" w:cs="Calibri"/>
          <w:i/>
        </w:rPr>
        <w:t>, J. Justi</w:t>
      </w:r>
      <w:r w:rsidR="00444088">
        <w:rPr>
          <w:rFonts w:ascii="Calibri" w:hAnsi="Calibri" w:cs="Calibri"/>
          <w:i/>
        </w:rPr>
        <w:t>n Gooding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vertAlign w:val="superscript"/>
          <w:lang w:val="en-AU"/>
        </w:rPr>
        <w:t>, E</w:t>
      </w:r>
      <w:r w:rsidR="00596D7D">
        <w:rPr>
          <w:rFonts w:ascii="Calibri" w:hAnsi="Calibri" w:cs="Calibri"/>
          <w:i/>
          <w:lang w:val="en-AU"/>
        </w:rPr>
        <w:t xml:space="preserve"> (justin.gooding@unsw.edu.au)</w:t>
      </w:r>
    </w:p>
    <w:p w14:paraId="49EF8C2D" w14:textId="71E01460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F43A61" w:rsidRPr="00F43A61">
        <w:rPr>
          <w:rFonts w:ascii="Calibri" w:hAnsi="Calibri" w:cs="Calibri"/>
          <w:sz w:val="22"/>
          <w:szCs w:val="22"/>
        </w:rPr>
        <w:t>School of Chemistry and Australian Centre for NanoMedicine, U</w:t>
      </w:r>
      <w:r w:rsidR="00804E8C">
        <w:rPr>
          <w:rFonts w:ascii="Calibri" w:hAnsi="Calibri" w:cs="Calibri"/>
          <w:sz w:val="22"/>
          <w:szCs w:val="22"/>
        </w:rPr>
        <w:t>NSW</w:t>
      </w:r>
      <w:r w:rsidR="00F43A61" w:rsidRPr="00F43A61">
        <w:rPr>
          <w:rFonts w:ascii="Calibri" w:hAnsi="Calibri" w:cs="Calibri"/>
          <w:sz w:val="22"/>
          <w:szCs w:val="22"/>
        </w:rPr>
        <w:t>, Sydney 2052, Australia</w:t>
      </w:r>
      <w:r w:rsidR="00F43A61">
        <w:rPr>
          <w:rFonts w:ascii="Calibri" w:hAnsi="Calibri" w:cs="Calibri"/>
          <w:sz w:val="22"/>
          <w:szCs w:val="22"/>
        </w:rPr>
        <w:t>;</w:t>
      </w:r>
      <w:r w:rsidR="00F43A61" w:rsidRPr="00F43A6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43A61">
        <w:rPr>
          <w:rFonts w:ascii="Calibri" w:hAnsi="Calibri" w:cs="Calibri"/>
          <w:sz w:val="22"/>
          <w:szCs w:val="22"/>
          <w:vertAlign w:val="superscript"/>
        </w:rPr>
        <w:t>B</w:t>
      </w:r>
      <w:r w:rsidR="00F43A61" w:rsidRPr="00F43A61">
        <w:rPr>
          <w:rFonts w:ascii="Calibri" w:hAnsi="Calibri" w:cs="Calibri"/>
          <w:sz w:val="22"/>
          <w:szCs w:val="22"/>
        </w:rPr>
        <w:t>Electron</w:t>
      </w:r>
      <w:proofErr w:type="spellEnd"/>
      <w:r w:rsidR="00F43A61" w:rsidRPr="00F43A61">
        <w:rPr>
          <w:rFonts w:ascii="Calibri" w:hAnsi="Calibri" w:cs="Calibri"/>
          <w:sz w:val="22"/>
          <w:szCs w:val="22"/>
        </w:rPr>
        <w:t xml:space="preserve"> Microscope Unit, Mark Wainwright Analytical Ce</w:t>
      </w:r>
      <w:bookmarkStart w:id="3" w:name="_GoBack"/>
      <w:bookmarkEnd w:id="3"/>
      <w:r w:rsidR="00F43A61" w:rsidRPr="00F43A61">
        <w:rPr>
          <w:rFonts w:ascii="Calibri" w:hAnsi="Calibri" w:cs="Calibri"/>
          <w:sz w:val="22"/>
          <w:szCs w:val="22"/>
        </w:rPr>
        <w:t>ntre, U</w:t>
      </w:r>
      <w:r w:rsidR="00804E8C">
        <w:rPr>
          <w:rFonts w:ascii="Calibri" w:hAnsi="Calibri" w:cs="Calibri"/>
          <w:sz w:val="22"/>
          <w:szCs w:val="22"/>
        </w:rPr>
        <w:t>NSW</w:t>
      </w:r>
      <w:r w:rsidR="00F43A61" w:rsidRPr="00F43A61">
        <w:rPr>
          <w:rFonts w:ascii="Calibri" w:hAnsi="Calibri" w:cs="Calibri"/>
          <w:sz w:val="22"/>
          <w:szCs w:val="22"/>
        </w:rPr>
        <w:t>, Sydney 2052, Australia</w:t>
      </w:r>
      <w:r w:rsidR="00F43A61">
        <w:rPr>
          <w:rFonts w:ascii="Calibri" w:hAnsi="Calibri" w:cs="Calibri"/>
          <w:sz w:val="22"/>
          <w:szCs w:val="22"/>
        </w:rPr>
        <w:t>;</w:t>
      </w:r>
      <w:r w:rsidR="00F43A61" w:rsidRPr="00F43A61">
        <w:rPr>
          <w:rFonts w:ascii="Calibri" w:hAnsi="Calibri" w:cs="Calibri"/>
          <w:sz w:val="22"/>
          <w:szCs w:val="22"/>
        </w:rPr>
        <w:t xml:space="preserve"> </w:t>
      </w:r>
      <w:r w:rsidR="006B02FA">
        <w:rPr>
          <w:rFonts w:ascii="Calibri" w:hAnsi="Calibri" w:cs="Calibri"/>
          <w:sz w:val="22"/>
          <w:szCs w:val="22"/>
          <w:vertAlign w:val="superscript"/>
        </w:rPr>
        <w:t>C</w:t>
      </w:r>
      <w:r w:rsidR="00F43A61" w:rsidRPr="00F43A61">
        <w:rPr>
          <w:rFonts w:ascii="Calibri" w:hAnsi="Calibri" w:cs="Calibri"/>
          <w:sz w:val="22"/>
          <w:szCs w:val="22"/>
          <w:lang w:val="en-AU"/>
        </w:rPr>
        <w:t>Department of Chemistry, University of Utah, Salt Lake City, UT 84112, United States</w:t>
      </w:r>
      <w:r w:rsidR="006B02FA">
        <w:rPr>
          <w:rFonts w:ascii="Calibri" w:hAnsi="Calibri" w:cs="Calibri"/>
          <w:sz w:val="22"/>
          <w:szCs w:val="22"/>
          <w:lang w:val="en-AU"/>
        </w:rPr>
        <w:t>;</w:t>
      </w:r>
      <w:r w:rsidR="00F43A61" w:rsidRPr="00F43A6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B02FA">
        <w:rPr>
          <w:rFonts w:ascii="Calibri" w:hAnsi="Calibri" w:cs="Calibri"/>
          <w:sz w:val="22"/>
          <w:szCs w:val="22"/>
          <w:vertAlign w:val="superscript"/>
        </w:rPr>
        <w:t>D</w:t>
      </w:r>
      <w:r w:rsidR="00F43A61" w:rsidRPr="00F43A61">
        <w:rPr>
          <w:rFonts w:ascii="Calibri" w:hAnsi="Calibri" w:cs="Calibri"/>
          <w:sz w:val="22"/>
          <w:szCs w:val="22"/>
        </w:rPr>
        <w:t>Analytical</w:t>
      </w:r>
      <w:proofErr w:type="spellEnd"/>
      <w:r w:rsidR="00F43A61" w:rsidRPr="00F43A61">
        <w:rPr>
          <w:rFonts w:ascii="Calibri" w:hAnsi="Calibri" w:cs="Calibri"/>
          <w:sz w:val="22"/>
          <w:szCs w:val="22"/>
        </w:rPr>
        <w:t xml:space="preserve"> Chemistry - Center for Electrochemical Sciences (CES), Faculty of Chemistry and Biochemistry, Ruhr-Universitat ̈ Bochum, Universitatsstr. 150, D-44780 Bochum, Germany ̈</w:t>
      </w:r>
      <w:r w:rsidR="006B02FA">
        <w:rPr>
          <w:rFonts w:ascii="Calibri" w:hAnsi="Calibri" w:cs="Calibri"/>
          <w:sz w:val="22"/>
          <w:szCs w:val="22"/>
        </w:rPr>
        <w:t xml:space="preserve">; </w:t>
      </w:r>
      <w:proofErr w:type="spellStart"/>
      <w:r w:rsidR="006B02FA">
        <w:rPr>
          <w:rFonts w:ascii="Calibri" w:hAnsi="Calibri" w:cs="Calibri"/>
          <w:sz w:val="22"/>
          <w:szCs w:val="22"/>
          <w:vertAlign w:val="superscript"/>
        </w:rPr>
        <w:t>E</w:t>
      </w:r>
      <w:r w:rsidR="00F43A61" w:rsidRPr="00F43A61">
        <w:rPr>
          <w:rFonts w:ascii="Calibri" w:hAnsi="Calibri" w:cs="Calibri"/>
          <w:sz w:val="22"/>
          <w:szCs w:val="22"/>
        </w:rPr>
        <w:t>Australian</w:t>
      </w:r>
      <w:proofErr w:type="spellEnd"/>
      <w:r w:rsidR="00F43A61" w:rsidRPr="00F43A61">
        <w:rPr>
          <w:rFonts w:ascii="Calibri" w:hAnsi="Calibri" w:cs="Calibri"/>
          <w:sz w:val="22"/>
          <w:szCs w:val="22"/>
        </w:rPr>
        <w:t xml:space="preserve"> Research Council Centre of Excellence in Convergent Bio-Nano Science and Technology, U</w:t>
      </w:r>
      <w:r w:rsidR="00804E8C">
        <w:rPr>
          <w:rFonts w:ascii="Calibri" w:hAnsi="Calibri" w:cs="Calibri"/>
          <w:sz w:val="22"/>
          <w:szCs w:val="22"/>
        </w:rPr>
        <w:t>NSW</w:t>
      </w:r>
      <w:r w:rsidR="00F43A61" w:rsidRPr="00F43A61">
        <w:rPr>
          <w:rFonts w:ascii="Calibri" w:hAnsi="Calibri" w:cs="Calibri"/>
          <w:sz w:val="22"/>
          <w:szCs w:val="22"/>
        </w:rPr>
        <w:t>, Sydney 2052, Australia</w:t>
      </w:r>
      <w:r w:rsidR="006B02FA">
        <w:rPr>
          <w:rFonts w:ascii="Calibri" w:hAnsi="Calibri" w:cs="Calibri"/>
          <w:sz w:val="22"/>
          <w:szCs w:val="22"/>
        </w:rPr>
        <w:t>.</w:t>
      </w:r>
    </w:p>
    <w:p w14:paraId="05E17889" w14:textId="64C5C8E9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6B7B1BB3" w:rsidR="00711813" w:rsidRPr="008B5EBD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8B5EBD">
        <w:rPr>
          <w:rFonts w:ascii="Calibri" w:hAnsi="Calibri" w:cs="Calibri"/>
          <w:sz w:val="22"/>
          <w:szCs w:val="22"/>
          <w:lang w:val="en-AU"/>
        </w:rPr>
        <w:t>Introduction.</w:t>
      </w:r>
    </w:p>
    <w:p w14:paraId="3B17490F" w14:textId="0AECAB22" w:rsidR="008B5EBD" w:rsidRPr="00165E47" w:rsidRDefault="00973281" w:rsidP="008B5EBD">
      <w:pPr>
        <w:spacing w:after="60"/>
        <w:jc w:val="both"/>
        <w:rPr>
          <w:rFonts w:asciiTheme="minorHAnsi" w:hAnsiTheme="minorHAnsi" w:cstheme="minorHAnsi"/>
          <w:kern w:val="21"/>
          <w:sz w:val="22"/>
          <w:szCs w:val="22"/>
        </w:rPr>
      </w:pPr>
      <w:r w:rsidRPr="00165E47">
        <w:rPr>
          <w:rFonts w:asciiTheme="minorHAnsi" w:hAnsiTheme="minorHAnsi" w:cstheme="minorHAnsi"/>
          <w:noProof/>
          <w:kern w:val="21"/>
          <w:sz w:val="22"/>
          <w:szCs w:val="2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5810E0E" wp14:editId="69E488F2">
                <wp:simplePos x="0" y="0"/>
                <wp:positionH relativeFrom="margin">
                  <wp:posOffset>4461510</wp:posOffset>
                </wp:positionH>
                <wp:positionV relativeFrom="paragraph">
                  <wp:posOffset>1263650</wp:posOffset>
                </wp:positionV>
                <wp:extent cx="1755775" cy="1404620"/>
                <wp:effectExtent l="0" t="0" r="158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1BD3A" w14:textId="4848DB5D" w:rsidR="009217ED" w:rsidRPr="00AF27EC" w:rsidRDefault="009217ED" w:rsidP="00857C1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57C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Fig.1.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Schematic illustration of a nanozyme.</w:t>
                            </w:r>
                            <w:r w:rsidR="00AF27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810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pt;margin-top:99.5pt;width:138.2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" strokecolor="white [3212]">
                <v:textbox style="mso-fit-shape-to-text:t">
                  <w:txbxContent>
                    <w:p w14:paraId="46F1BD3A" w14:textId="4848DB5D" w:rsidR="009217ED" w:rsidRPr="00AF27EC" w:rsidRDefault="009217ED" w:rsidP="00857C17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57C1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Fig.1.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Schematic illustration of a nanozyme.</w:t>
                      </w:r>
                      <w:r w:rsidR="00AF27EC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251659776" behindDoc="0" locked="0" layoutInCell="1" allowOverlap="1" wp14:anchorId="1CE9F481" wp14:editId="2F546B98">
            <wp:simplePos x="0" y="0"/>
            <wp:positionH relativeFrom="margin">
              <wp:posOffset>4429760</wp:posOffset>
            </wp:positionH>
            <wp:positionV relativeFrom="paragraph">
              <wp:posOffset>7620</wp:posOffset>
            </wp:positionV>
            <wp:extent cx="1885315" cy="1212850"/>
            <wp:effectExtent l="0" t="0" r="635" b="6350"/>
            <wp:wrapThrough wrapText="bothSides">
              <wp:wrapPolygon edited="0">
                <wp:start x="0" y="0"/>
                <wp:lineTo x="0" y="21374"/>
                <wp:lineTo x="21389" y="21374"/>
                <wp:lineTo x="21389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5" b="10742"/>
                    <a:stretch/>
                  </pic:blipFill>
                  <pic:spPr bwMode="auto">
                    <a:xfrm>
                      <a:off x="0" y="0"/>
                      <a:ext cx="1885315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11" w:rsidRPr="00165E47">
        <w:rPr>
          <w:rFonts w:asciiTheme="minorHAnsi" w:hAnsiTheme="minorHAnsi" w:cstheme="minorHAnsi"/>
          <w:kern w:val="21"/>
          <w:sz w:val="22"/>
          <w:szCs w:val="22"/>
        </w:rPr>
        <w:t>One of the main mechanisms by which e</w:t>
      </w:r>
      <w:r w:rsidR="007037E0" w:rsidRPr="00165E47">
        <w:rPr>
          <w:rFonts w:asciiTheme="minorHAnsi" w:hAnsiTheme="minorHAnsi" w:cstheme="minorHAnsi"/>
          <w:kern w:val="21"/>
          <w:sz w:val="22"/>
          <w:szCs w:val="22"/>
        </w:rPr>
        <w:t xml:space="preserve">nzymes achieve their catalytic efficiency </w:t>
      </w:r>
      <w:r w:rsidR="00586711" w:rsidRPr="00165E47">
        <w:rPr>
          <w:rFonts w:asciiTheme="minorHAnsi" w:hAnsiTheme="minorHAnsi" w:cstheme="minorHAnsi"/>
          <w:kern w:val="21"/>
          <w:sz w:val="22"/>
          <w:szCs w:val="22"/>
        </w:rPr>
        <w:t>is through the isolation of their reactive centre from the bulk solution in which the substrate is found.</w:t>
      </w:r>
      <w:r w:rsidR="0015486B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Our</w:t>
      </w:r>
      <w:r w:rsidR="00CA2377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“nanozyme” </w:t>
      </w:r>
      <w:r w:rsidR="008B5EBD" w:rsidRPr="00165E47">
        <w:rPr>
          <w:rFonts w:asciiTheme="minorHAnsi" w:hAnsiTheme="minorHAnsi" w:cstheme="minorHAnsi"/>
          <w:kern w:val="21"/>
          <w:sz w:val="22"/>
          <w:szCs w:val="22"/>
        </w:rPr>
        <w:t xml:space="preserve">nanoparticles </w:t>
      </w:r>
      <w:r w:rsidR="0076587B" w:rsidRPr="00165E47">
        <w:rPr>
          <w:rFonts w:asciiTheme="minorHAnsi" w:hAnsiTheme="minorHAnsi" w:cstheme="minorHAnsi"/>
          <w:kern w:val="21"/>
          <w:sz w:val="22"/>
          <w:szCs w:val="22"/>
        </w:rPr>
        <w:t>mimic</w:t>
      </w:r>
      <w:r w:rsidR="008B5EBD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the three-dimensional geometry of enzymes for electrocatalysis</w:t>
      </w:r>
      <w:r w:rsidR="00B01A4E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</w:t>
      </w:r>
      <w:proofErr w:type="gramStart"/>
      <w:r w:rsidR="00B01A4E" w:rsidRPr="00165E47">
        <w:rPr>
          <w:rFonts w:asciiTheme="minorHAnsi" w:hAnsiTheme="minorHAnsi" w:cstheme="minorHAnsi"/>
          <w:kern w:val="21"/>
          <w:sz w:val="22"/>
          <w:szCs w:val="22"/>
        </w:rPr>
        <w:t>as a way to</w:t>
      </w:r>
      <w:proofErr w:type="gramEnd"/>
      <w:r w:rsidR="00B01A4E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increase </w:t>
      </w:r>
      <w:r w:rsidR="00054A08">
        <w:rPr>
          <w:rFonts w:asciiTheme="minorHAnsi" w:hAnsiTheme="minorHAnsi" w:cstheme="minorHAnsi"/>
          <w:kern w:val="21"/>
          <w:sz w:val="22"/>
          <w:szCs w:val="22"/>
        </w:rPr>
        <w:t>specific activity</w:t>
      </w:r>
      <w:r w:rsidR="00B01A4E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</w:t>
      </w:r>
      <w:r w:rsidR="00931A3D" w:rsidRPr="00165E47">
        <w:rPr>
          <w:rFonts w:asciiTheme="minorHAnsi" w:hAnsiTheme="minorHAnsi" w:cstheme="minorHAnsi"/>
          <w:kern w:val="21"/>
          <w:sz w:val="22"/>
          <w:szCs w:val="22"/>
        </w:rPr>
        <w:t>for ORR.</w:t>
      </w:r>
      <w:r w:rsidR="008B5EBD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</w:t>
      </w:r>
      <w:r w:rsidR="00931A3D" w:rsidRPr="00165E47">
        <w:rPr>
          <w:rFonts w:asciiTheme="minorHAnsi" w:hAnsiTheme="minorHAnsi" w:cstheme="minorHAnsi"/>
          <w:kern w:val="21"/>
          <w:sz w:val="22"/>
          <w:szCs w:val="22"/>
        </w:rPr>
        <w:t>This is achieved by forming i</w:t>
      </w:r>
      <w:r w:rsidR="008B5EBD" w:rsidRPr="00165E47">
        <w:rPr>
          <w:rFonts w:asciiTheme="minorHAnsi" w:hAnsiTheme="minorHAnsi" w:cstheme="minorHAnsi"/>
          <w:kern w:val="21"/>
          <w:sz w:val="22"/>
          <w:szCs w:val="22"/>
        </w:rPr>
        <w:t>solated substrate channels that pe</w:t>
      </w:r>
      <w:r w:rsidR="006B6257">
        <w:rPr>
          <w:rFonts w:asciiTheme="minorHAnsi" w:hAnsiTheme="minorHAnsi" w:cstheme="minorHAnsi"/>
          <w:kern w:val="21"/>
          <w:sz w:val="22"/>
          <w:szCs w:val="22"/>
        </w:rPr>
        <w:t>n</w:t>
      </w:r>
      <w:r w:rsidR="008B5EBD" w:rsidRPr="00165E47">
        <w:rPr>
          <w:rFonts w:asciiTheme="minorHAnsi" w:hAnsiTheme="minorHAnsi" w:cstheme="minorHAnsi"/>
          <w:kern w:val="21"/>
          <w:sz w:val="22"/>
          <w:szCs w:val="22"/>
        </w:rPr>
        <w:t>etrate into the centre of the nanoparticle with an exterior surface electrochemically passivated by a surfactant</w:t>
      </w:r>
      <w:r w:rsidR="00CA2377" w:rsidRPr="00165E47">
        <w:rPr>
          <w:rFonts w:asciiTheme="minorHAnsi" w:hAnsiTheme="minorHAnsi" w:cstheme="minorHAnsi"/>
          <w:kern w:val="21"/>
          <w:sz w:val="22"/>
          <w:szCs w:val="22"/>
        </w:rPr>
        <w:t>.</w:t>
      </w:r>
      <w:r w:rsidR="00C13D8B" w:rsidRPr="00165E47">
        <w:rPr>
          <w:rFonts w:asciiTheme="minorHAnsi" w:hAnsiTheme="minorHAnsi" w:cstheme="minorHAnsi"/>
          <w:kern w:val="21"/>
          <w:sz w:val="22"/>
          <w:szCs w:val="22"/>
        </w:rPr>
        <w:fldChar w:fldCharType="begin"/>
      </w:r>
      <w:r w:rsidR="00C13D8B" w:rsidRPr="00165E47">
        <w:rPr>
          <w:rFonts w:asciiTheme="minorHAnsi" w:hAnsiTheme="minorHAnsi" w:cstheme="minorHAnsi"/>
          <w:kern w:val="21"/>
          <w:sz w:val="22"/>
          <w:szCs w:val="22"/>
        </w:rPr>
        <w:instrText xml:space="preserve"> ADDIN EN.CITE &lt;EndNote&gt;&lt;Cite&gt;&lt;Author&gt;Benedetti&lt;/Author&gt;&lt;Year&gt;2018&lt;/Year&gt;&lt;RecNum&gt;45&lt;/RecNum&gt;&lt;DisplayText&gt;&lt;style face="superscript"&gt;1&lt;/style&gt;&lt;/DisplayText&gt;&lt;record&gt;&lt;rec-number&gt;45&lt;/rec-number&gt;&lt;foreign-keys&gt;&lt;key app="EN" db-id="5dtw0rt9l0dpf9esawyp0pxvf02xsz9292ar" timestamp="1539404029"&gt;45&lt;/key&gt;&lt;/foreign-keys&gt;&lt;ref-type name="Journal Article"&gt;17&lt;/ref-type&gt;&lt;contributors&gt;&lt;authors&gt;&lt;author&gt;Benedetti, Tania M&lt;/author&gt;&lt;author&gt;Andronescu, Corina&lt;/author&gt;&lt;author&gt;Cheong, Soshan&lt;/author&gt;&lt;author&gt;Wilde, Patrick&lt;/author&gt;&lt;author&gt;Wordsworth, Johanna&lt;/author&gt;&lt;author&gt;Kientz, Martin&lt;/author&gt;&lt;author&gt;Tilley, Richard D&lt;/author&gt;&lt;author&gt;Schuhmann, Wolfgang&lt;/author&gt;&lt;author&gt;Gooding, John Justin&lt;/author&gt;&lt;/authors&gt;&lt;/contributors&gt;&lt;titles&gt;&lt;title&gt;Electrocatalytic nanoparticles that mimic the three dimensional geometric architecture of enzymes: Nanozymes&lt;/title&gt;&lt;secondary-title&gt;Journal of the American Chemical Society&lt;/secondary-title&gt;&lt;/titles&gt;&lt;periodical&gt;&lt;full-title&gt;Journal of the American Chemical Society&lt;/full-title&gt;&lt;/periodical&gt;&lt;dates&gt;&lt;year&gt;2018&lt;/year&gt;&lt;/dates&gt;&lt;isbn&gt;0002-7863&lt;/isbn&gt;&lt;urls&gt;&lt;/urls&gt;&lt;/record&gt;&lt;/Cite&gt;&lt;/EndNote&gt;</w:instrText>
      </w:r>
      <w:r w:rsidR="00C13D8B" w:rsidRPr="00165E47">
        <w:rPr>
          <w:rFonts w:asciiTheme="minorHAnsi" w:hAnsiTheme="minorHAnsi" w:cstheme="minorHAnsi"/>
          <w:kern w:val="21"/>
          <w:sz w:val="22"/>
          <w:szCs w:val="22"/>
        </w:rPr>
        <w:fldChar w:fldCharType="separate"/>
      </w:r>
      <w:r w:rsidR="00C13D8B" w:rsidRPr="00165E47">
        <w:rPr>
          <w:rFonts w:asciiTheme="minorHAnsi" w:hAnsiTheme="minorHAnsi" w:cstheme="minorHAnsi"/>
          <w:noProof/>
          <w:kern w:val="21"/>
          <w:sz w:val="22"/>
          <w:szCs w:val="22"/>
          <w:vertAlign w:val="superscript"/>
        </w:rPr>
        <w:t>1</w:t>
      </w:r>
      <w:r w:rsidR="00C13D8B" w:rsidRPr="00165E47">
        <w:rPr>
          <w:rFonts w:asciiTheme="minorHAnsi" w:hAnsiTheme="minorHAnsi" w:cstheme="minorHAnsi"/>
          <w:kern w:val="21"/>
          <w:sz w:val="22"/>
          <w:szCs w:val="22"/>
        </w:rPr>
        <w:fldChar w:fldCharType="end"/>
      </w:r>
      <w:r w:rsidR="00CA2377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T</w:t>
      </w:r>
      <w:r w:rsidR="008B5EBD" w:rsidRPr="00165E47">
        <w:rPr>
          <w:rFonts w:asciiTheme="minorHAnsi" w:hAnsiTheme="minorHAnsi" w:cstheme="minorHAnsi"/>
          <w:kern w:val="21"/>
          <w:sz w:val="22"/>
          <w:szCs w:val="22"/>
        </w:rPr>
        <w:t xml:space="preserve">he electrochemical reaction </w:t>
      </w:r>
      <w:r w:rsidR="00CA2377" w:rsidRPr="00165E47">
        <w:rPr>
          <w:rFonts w:asciiTheme="minorHAnsi" w:hAnsiTheme="minorHAnsi" w:cstheme="minorHAnsi"/>
          <w:kern w:val="21"/>
          <w:sz w:val="22"/>
          <w:szCs w:val="22"/>
        </w:rPr>
        <w:t xml:space="preserve">is then restricted to </w:t>
      </w:r>
      <w:r w:rsidR="008B5EBD" w:rsidRPr="00165E47">
        <w:rPr>
          <w:rFonts w:asciiTheme="minorHAnsi" w:hAnsiTheme="minorHAnsi" w:cstheme="minorHAnsi"/>
          <w:kern w:val="21"/>
          <w:sz w:val="22"/>
          <w:szCs w:val="22"/>
        </w:rPr>
        <w:t>occur within a nano-confined substrate channel</w:t>
      </w:r>
      <w:r w:rsidR="00BB7896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allowing con</w:t>
      </w:r>
      <w:r w:rsidR="00D333A9" w:rsidRPr="00165E47">
        <w:rPr>
          <w:rFonts w:asciiTheme="minorHAnsi" w:hAnsiTheme="minorHAnsi" w:cstheme="minorHAnsi"/>
          <w:kern w:val="21"/>
          <w:sz w:val="22"/>
          <w:szCs w:val="22"/>
        </w:rPr>
        <w:t>trol over the solution environment.</w:t>
      </w:r>
    </w:p>
    <w:p w14:paraId="4B45428F" w14:textId="77777777" w:rsidR="008B5EBD" w:rsidRPr="00165E47" w:rsidRDefault="008B5EBD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342C4C" w14:textId="51C1665C" w:rsidR="00711813" w:rsidRPr="00165E47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165E47">
        <w:rPr>
          <w:rFonts w:ascii="Calibri" w:hAnsi="Calibri" w:cs="Calibri"/>
          <w:sz w:val="22"/>
          <w:szCs w:val="22"/>
          <w:lang w:val="en-AU"/>
        </w:rPr>
        <w:t xml:space="preserve">Aims. </w:t>
      </w:r>
    </w:p>
    <w:p w14:paraId="197F35D7" w14:textId="65340739" w:rsidR="0034193E" w:rsidRPr="00165E47" w:rsidRDefault="0034193E" w:rsidP="0034193E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165E47">
        <w:rPr>
          <w:rFonts w:asciiTheme="minorHAnsi" w:hAnsiTheme="minorHAnsi" w:cstheme="minorHAnsi"/>
          <w:kern w:val="21"/>
          <w:sz w:val="22"/>
          <w:szCs w:val="22"/>
        </w:rPr>
        <w:t xml:space="preserve">The purpose of this </w:t>
      </w:r>
      <w:r w:rsidR="00A12DA4" w:rsidRPr="00165E47">
        <w:rPr>
          <w:rFonts w:asciiTheme="minorHAnsi" w:hAnsiTheme="minorHAnsi" w:cstheme="minorHAnsi"/>
          <w:kern w:val="21"/>
          <w:sz w:val="22"/>
          <w:szCs w:val="22"/>
        </w:rPr>
        <w:t>research was to understand how substrate channels affect</w:t>
      </w:r>
      <w:r w:rsidRPr="00165E47">
        <w:rPr>
          <w:rFonts w:asciiTheme="minorHAnsi" w:hAnsiTheme="minorHAnsi" w:cstheme="minorHAnsi"/>
          <w:kern w:val="21"/>
          <w:sz w:val="22"/>
          <w:szCs w:val="22"/>
        </w:rPr>
        <w:t xml:space="preserve"> </w:t>
      </w:r>
      <w:r w:rsidR="00EF009A" w:rsidRPr="00165E47">
        <w:rPr>
          <w:rFonts w:asciiTheme="minorHAnsi" w:hAnsiTheme="minorHAnsi" w:cstheme="minorHAnsi"/>
          <w:kern w:val="21"/>
          <w:sz w:val="22"/>
          <w:szCs w:val="22"/>
        </w:rPr>
        <w:t>electrocatalytic performance</w:t>
      </w:r>
      <w:r w:rsidRPr="00165E47">
        <w:rPr>
          <w:rFonts w:asciiTheme="minorHAnsi" w:hAnsiTheme="minorHAnsi" w:cstheme="minorHAnsi"/>
          <w:kern w:val="21"/>
          <w:sz w:val="22"/>
          <w:szCs w:val="22"/>
        </w:rPr>
        <w:t>.</w:t>
      </w:r>
    </w:p>
    <w:p w14:paraId="4194454A" w14:textId="77777777" w:rsidR="00045573" w:rsidRPr="00165E47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330504" w14:textId="4B1C8413" w:rsidR="00711813" w:rsidRPr="00165E47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165E47">
        <w:rPr>
          <w:rFonts w:ascii="Calibri" w:hAnsi="Calibri" w:cs="Calibri"/>
          <w:sz w:val="22"/>
          <w:szCs w:val="22"/>
          <w:lang w:val="en-AU"/>
        </w:rPr>
        <w:t xml:space="preserve">Methods. </w:t>
      </w:r>
    </w:p>
    <w:p w14:paraId="50FBAD80" w14:textId="355BD0C4" w:rsidR="00672C86" w:rsidRPr="00165E47" w:rsidRDefault="00423612" w:rsidP="00711813">
      <w:pPr>
        <w:jc w:val="both"/>
        <w:rPr>
          <w:rFonts w:asciiTheme="minorHAnsi" w:hAnsiTheme="minorHAnsi" w:cstheme="minorHAnsi"/>
          <w:kern w:val="21"/>
          <w:sz w:val="22"/>
          <w:szCs w:val="22"/>
        </w:rPr>
      </w:pPr>
      <w:r w:rsidRPr="00165E47">
        <w:rPr>
          <w:rFonts w:asciiTheme="minorHAnsi" w:hAnsiTheme="minorHAnsi" w:cstheme="minorHAnsi"/>
          <w:kern w:val="21"/>
          <w:sz w:val="22"/>
          <w:szCs w:val="22"/>
        </w:rPr>
        <w:t xml:space="preserve">Ni-rich </w:t>
      </w:r>
      <w:r w:rsidR="007037E0" w:rsidRPr="00165E47">
        <w:rPr>
          <w:rFonts w:asciiTheme="minorHAnsi" w:hAnsiTheme="minorHAnsi" w:cstheme="minorHAnsi"/>
          <w:kern w:val="21"/>
          <w:sz w:val="22"/>
          <w:szCs w:val="22"/>
        </w:rPr>
        <w:t>domains within PtNi nanoparticles</w:t>
      </w:r>
      <w:r w:rsidRPr="00165E47">
        <w:rPr>
          <w:rFonts w:asciiTheme="minorHAnsi" w:hAnsiTheme="minorHAnsi" w:cstheme="minorHAnsi"/>
          <w:kern w:val="21"/>
          <w:sz w:val="22"/>
          <w:szCs w:val="22"/>
        </w:rPr>
        <w:t>, induced by lattice mismatch,</w:t>
      </w:r>
      <w:r w:rsidR="007037E0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were etched</w:t>
      </w:r>
      <w:r w:rsidR="00956C79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away in acid to give isolated substrate channels with diameters on the order of a couple of nanometers.</w:t>
      </w:r>
      <w:r w:rsidR="00462399" w:rsidRPr="00165E47">
        <w:rPr>
          <w:rFonts w:asciiTheme="minorHAnsi" w:hAnsiTheme="minorHAnsi" w:cstheme="minorHAnsi"/>
          <w:kern w:val="21"/>
          <w:sz w:val="22"/>
          <w:szCs w:val="22"/>
          <w:vertAlign w:val="superscript"/>
        </w:rPr>
        <w:t>1</w:t>
      </w:r>
      <w:r w:rsidR="00BB7896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ORR activity was measured for nanozymes with different substrate channel diameters. </w:t>
      </w:r>
      <w:r w:rsidR="00BB7896" w:rsidRPr="00165E47">
        <w:rPr>
          <w:rFonts w:asciiTheme="minorHAnsi" w:hAnsiTheme="minorHAnsi" w:cstheme="minorHAnsi"/>
          <w:kern w:val="21"/>
          <w:sz w:val="22"/>
          <w:szCs w:val="22"/>
          <w:lang w:val="en-AU"/>
        </w:rPr>
        <w:t xml:space="preserve">Koutecký-Levich plots were used to calculate kinetic current density over a range of potentials in the mixed kinetic-diffusion region. </w:t>
      </w:r>
      <w:r w:rsidR="002604FD" w:rsidRPr="00165E47">
        <w:rPr>
          <w:rFonts w:asciiTheme="minorHAnsi" w:hAnsiTheme="minorHAnsi" w:cstheme="minorHAnsi"/>
          <w:kern w:val="21"/>
          <w:sz w:val="22"/>
          <w:szCs w:val="22"/>
        </w:rPr>
        <w:t xml:space="preserve">Physicochemical modelling of the electrocatalytic system </w:t>
      </w:r>
      <w:r w:rsidR="00672C86" w:rsidRPr="00165E47">
        <w:rPr>
          <w:rFonts w:asciiTheme="minorHAnsi" w:hAnsiTheme="minorHAnsi" w:cstheme="minorHAnsi"/>
          <w:kern w:val="21"/>
          <w:sz w:val="22"/>
          <w:szCs w:val="22"/>
        </w:rPr>
        <w:t xml:space="preserve">was then employed to </w:t>
      </w:r>
      <w:r w:rsidR="00BB7896" w:rsidRPr="00165E47">
        <w:rPr>
          <w:rFonts w:asciiTheme="minorHAnsi" w:hAnsiTheme="minorHAnsi" w:cstheme="minorHAnsi"/>
          <w:kern w:val="21"/>
          <w:sz w:val="22"/>
          <w:szCs w:val="22"/>
        </w:rPr>
        <w:t>help explain the</w:t>
      </w:r>
      <w:r w:rsidR="00853E33" w:rsidRPr="00165E47">
        <w:rPr>
          <w:rFonts w:asciiTheme="minorHAnsi" w:hAnsiTheme="minorHAnsi" w:cstheme="minorHAnsi"/>
          <w:kern w:val="21"/>
          <w:sz w:val="22"/>
          <w:szCs w:val="22"/>
        </w:rPr>
        <w:t>se</w:t>
      </w:r>
      <w:r w:rsidR="00BB7896" w:rsidRPr="00165E47">
        <w:rPr>
          <w:rFonts w:asciiTheme="minorHAnsi" w:hAnsiTheme="minorHAnsi" w:cstheme="minorHAnsi"/>
          <w:kern w:val="21"/>
          <w:sz w:val="22"/>
          <w:szCs w:val="22"/>
        </w:rPr>
        <w:t xml:space="preserve"> results.</w:t>
      </w:r>
    </w:p>
    <w:p w14:paraId="189B2DA5" w14:textId="0D115844" w:rsidR="00E74A64" w:rsidRPr="00165E47" w:rsidRDefault="00E74A64" w:rsidP="00711813">
      <w:pPr>
        <w:jc w:val="both"/>
        <w:rPr>
          <w:rFonts w:asciiTheme="minorHAnsi" w:hAnsiTheme="minorHAnsi" w:cstheme="minorHAnsi"/>
          <w:kern w:val="21"/>
          <w:sz w:val="22"/>
          <w:szCs w:val="22"/>
        </w:rPr>
      </w:pPr>
    </w:p>
    <w:p w14:paraId="7047AF77" w14:textId="65D1086C" w:rsidR="00711813" w:rsidRPr="00165E47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165E47">
        <w:rPr>
          <w:rFonts w:ascii="Calibri" w:hAnsi="Calibri" w:cs="Calibri"/>
          <w:sz w:val="22"/>
          <w:szCs w:val="22"/>
          <w:lang w:val="en-AU"/>
        </w:rPr>
        <w:t xml:space="preserve">Results. </w:t>
      </w:r>
    </w:p>
    <w:p w14:paraId="092354F5" w14:textId="4DFE9AB9" w:rsidR="00045573" w:rsidRPr="00165E47" w:rsidRDefault="00556F64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165E47">
        <w:rPr>
          <w:rFonts w:ascii="Calibri" w:hAnsi="Calibri" w:cs="Calibri"/>
          <w:sz w:val="22"/>
          <w:szCs w:val="22"/>
        </w:rPr>
        <w:t>K</w:t>
      </w:r>
      <w:r w:rsidR="009F1995" w:rsidRPr="00165E47">
        <w:rPr>
          <w:rFonts w:ascii="Calibri" w:hAnsi="Calibri" w:cs="Calibri"/>
          <w:sz w:val="22"/>
          <w:szCs w:val="22"/>
        </w:rPr>
        <w:t>inetic current density</w:t>
      </w:r>
      <w:r w:rsidR="009F1995" w:rsidRPr="009F1995">
        <w:rPr>
          <w:rFonts w:ascii="Calibri" w:hAnsi="Calibri" w:cs="Calibri"/>
          <w:sz w:val="22"/>
          <w:szCs w:val="22"/>
        </w:rPr>
        <w:t xml:space="preserve"> was 3.3 times higher when the surface outside the channels is </w:t>
      </w:r>
      <w:r w:rsidR="006B6257">
        <w:rPr>
          <w:rFonts w:ascii="Calibri" w:hAnsi="Calibri" w:cs="Calibri"/>
          <w:sz w:val="22"/>
          <w:szCs w:val="22"/>
        </w:rPr>
        <w:t>passivated</w:t>
      </w:r>
      <w:r w:rsidR="009F1995" w:rsidRPr="009F1995">
        <w:rPr>
          <w:rFonts w:ascii="Calibri" w:hAnsi="Calibri" w:cs="Calibri"/>
          <w:sz w:val="22"/>
          <w:szCs w:val="22"/>
        </w:rPr>
        <w:t xml:space="preserve"> and is among the highest specific activity reported for Pt-Ni nanoparticles</w:t>
      </w:r>
      <w:r w:rsidR="009F1995" w:rsidRPr="00165E47">
        <w:rPr>
          <w:rFonts w:ascii="Calibri" w:hAnsi="Calibri" w:cs="Calibri"/>
          <w:sz w:val="22"/>
          <w:szCs w:val="22"/>
        </w:rPr>
        <w:t xml:space="preserve">. </w:t>
      </w:r>
      <w:r w:rsidR="000170DF" w:rsidRPr="00165E47">
        <w:rPr>
          <w:rFonts w:ascii="Calibri" w:hAnsi="Calibri" w:cs="Calibri"/>
          <w:sz w:val="22"/>
          <w:szCs w:val="22"/>
        </w:rPr>
        <w:t>Narrow channels are more active at low overpotentials</w:t>
      </w:r>
      <w:r w:rsidR="006B6257">
        <w:rPr>
          <w:rFonts w:ascii="Calibri" w:hAnsi="Calibri" w:cs="Calibri"/>
          <w:sz w:val="22"/>
          <w:szCs w:val="22"/>
        </w:rPr>
        <w:t xml:space="preserve"> (ca. 0.95 V (RHE))</w:t>
      </w:r>
      <w:r w:rsidR="000170DF" w:rsidRPr="00165E47">
        <w:rPr>
          <w:rFonts w:ascii="Calibri" w:hAnsi="Calibri" w:cs="Calibri"/>
          <w:sz w:val="22"/>
          <w:szCs w:val="22"/>
        </w:rPr>
        <w:t>, while wider channels exhibit higher activity at higher overpotentials.</w:t>
      </w:r>
    </w:p>
    <w:p w14:paraId="7230FFCF" w14:textId="77777777" w:rsidR="007E3DC0" w:rsidRPr="00CA2377" w:rsidRDefault="007E3DC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B7EDDB3" w14:textId="03F2C9CC" w:rsidR="00EF12F3" w:rsidRPr="00300A92" w:rsidRDefault="0071181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300A92">
        <w:rPr>
          <w:rFonts w:ascii="Calibri" w:hAnsi="Calibri" w:cs="Calibri"/>
          <w:sz w:val="22"/>
          <w:szCs w:val="22"/>
          <w:lang w:val="en-AU"/>
        </w:rPr>
        <w:t xml:space="preserve">Discussion. </w:t>
      </w:r>
    </w:p>
    <w:p w14:paraId="5B1B2004" w14:textId="1467ACA1" w:rsidR="00E74A64" w:rsidRPr="00300A92" w:rsidRDefault="006B6257" w:rsidP="00E74A64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Theme="minorHAnsi" w:hAnsiTheme="minorHAnsi" w:cstheme="minorHAnsi"/>
          <w:kern w:val="21"/>
          <w:sz w:val="22"/>
          <w:szCs w:val="22"/>
        </w:rPr>
        <w:t>Proton and oxygen</w:t>
      </w:r>
      <w:r w:rsidR="00436D6D" w:rsidRPr="00300A92">
        <w:rPr>
          <w:rFonts w:asciiTheme="minorHAnsi" w:hAnsiTheme="minorHAnsi" w:cstheme="minorHAnsi"/>
          <w:kern w:val="21"/>
          <w:sz w:val="22"/>
          <w:szCs w:val="22"/>
        </w:rPr>
        <w:t xml:space="preserve"> concentration profiles</w:t>
      </w:r>
      <w:r w:rsidR="00AD6C08" w:rsidRPr="00300A92">
        <w:rPr>
          <w:rFonts w:asciiTheme="minorHAnsi" w:hAnsiTheme="minorHAnsi" w:cstheme="minorHAnsi"/>
          <w:kern w:val="21"/>
          <w:sz w:val="22"/>
          <w:szCs w:val="22"/>
        </w:rPr>
        <w:t xml:space="preserve"> inside isolated channels</w:t>
      </w:r>
      <w:r w:rsidR="00436D6D" w:rsidRPr="00300A92">
        <w:rPr>
          <w:rFonts w:asciiTheme="minorHAnsi" w:hAnsiTheme="minorHAnsi" w:cstheme="minorHAnsi"/>
          <w:kern w:val="21"/>
          <w:sz w:val="22"/>
          <w:szCs w:val="22"/>
        </w:rPr>
        <w:t xml:space="preserve"> showed </w:t>
      </w:r>
      <w:r w:rsidR="00021C81" w:rsidRPr="00300A92">
        <w:rPr>
          <w:rFonts w:asciiTheme="minorHAnsi" w:hAnsiTheme="minorHAnsi" w:cstheme="minorHAnsi"/>
          <w:kern w:val="21"/>
          <w:sz w:val="22"/>
          <w:szCs w:val="22"/>
        </w:rPr>
        <w:t xml:space="preserve">that </w:t>
      </w:r>
      <w:r w:rsidR="00AD6C08" w:rsidRPr="00300A92">
        <w:rPr>
          <w:rFonts w:asciiTheme="minorHAnsi" w:hAnsiTheme="minorHAnsi" w:cstheme="minorHAnsi"/>
          <w:kern w:val="21"/>
          <w:sz w:val="22"/>
          <w:szCs w:val="22"/>
        </w:rPr>
        <w:t>nanoconfinement is an unforeseen double-edged sword. P</w:t>
      </w:r>
      <w:r w:rsidR="006D5687" w:rsidRPr="00300A92">
        <w:rPr>
          <w:rFonts w:asciiTheme="minorHAnsi" w:hAnsiTheme="minorHAnsi" w:cstheme="minorHAnsi"/>
          <w:kern w:val="21"/>
          <w:sz w:val="22"/>
          <w:szCs w:val="22"/>
        </w:rPr>
        <w:t>roton c</w:t>
      </w:r>
      <w:r w:rsidR="00021C81" w:rsidRPr="00300A92">
        <w:rPr>
          <w:rFonts w:asciiTheme="minorHAnsi" w:hAnsiTheme="minorHAnsi" w:cstheme="minorHAnsi"/>
          <w:kern w:val="21"/>
          <w:sz w:val="22"/>
          <w:szCs w:val="22"/>
        </w:rPr>
        <w:t>oncentration is higher</w:t>
      </w:r>
      <w:r w:rsidR="006D5687" w:rsidRPr="00300A92">
        <w:rPr>
          <w:rFonts w:asciiTheme="minorHAnsi" w:hAnsiTheme="minorHAnsi" w:cstheme="minorHAnsi"/>
          <w:kern w:val="21"/>
          <w:sz w:val="22"/>
          <w:szCs w:val="22"/>
        </w:rPr>
        <w:t xml:space="preserve"> with</w:t>
      </w:r>
      <w:r w:rsidR="00021C81" w:rsidRPr="00300A92">
        <w:rPr>
          <w:rFonts w:asciiTheme="minorHAnsi" w:hAnsiTheme="minorHAnsi" w:cstheme="minorHAnsi"/>
          <w:kern w:val="21"/>
          <w:sz w:val="22"/>
          <w:szCs w:val="22"/>
        </w:rPr>
        <w:t xml:space="preserve">in smaller channels, </w:t>
      </w:r>
      <w:r w:rsidR="00AD6C08" w:rsidRPr="00300A92">
        <w:rPr>
          <w:rFonts w:asciiTheme="minorHAnsi" w:hAnsiTheme="minorHAnsi" w:cstheme="minorHAnsi"/>
          <w:kern w:val="21"/>
          <w:sz w:val="22"/>
          <w:szCs w:val="22"/>
        </w:rPr>
        <w:t>leading to</w:t>
      </w:r>
      <w:r w:rsidR="00021C81" w:rsidRPr="00300A92">
        <w:rPr>
          <w:rFonts w:asciiTheme="minorHAnsi" w:hAnsiTheme="minorHAnsi" w:cstheme="minorHAnsi"/>
          <w:kern w:val="21"/>
          <w:sz w:val="22"/>
          <w:szCs w:val="22"/>
        </w:rPr>
        <w:t xml:space="preserve"> high activity at low overpotentials. </w:t>
      </w:r>
      <w:r w:rsidR="00300A92" w:rsidRPr="00300A92">
        <w:rPr>
          <w:rFonts w:asciiTheme="minorHAnsi" w:hAnsiTheme="minorHAnsi" w:cstheme="minorHAnsi"/>
          <w:kern w:val="21"/>
          <w:sz w:val="22"/>
          <w:szCs w:val="22"/>
        </w:rPr>
        <w:t>As overpotential is increased</w:t>
      </w:r>
      <w:r w:rsidR="00AD6C08" w:rsidRPr="00300A92">
        <w:rPr>
          <w:rFonts w:asciiTheme="minorHAnsi" w:hAnsiTheme="minorHAnsi" w:cstheme="minorHAnsi"/>
          <w:kern w:val="21"/>
          <w:sz w:val="22"/>
          <w:szCs w:val="22"/>
        </w:rPr>
        <w:t xml:space="preserve">, </w:t>
      </w:r>
      <w:r w:rsidR="00EB39E3" w:rsidRPr="00300A92">
        <w:rPr>
          <w:rFonts w:asciiTheme="minorHAnsi" w:hAnsiTheme="minorHAnsi" w:cstheme="minorHAnsi"/>
          <w:kern w:val="21"/>
          <w:sz w:val="22"/>
          <w:szCs w:val="22"/>
        </w:rPr>
        <w:t>oxygen d</w:t>
      </w:r>
      <w:r w:rsidR="00292DB3" w:rsidRPr="00300A92">
        <w:rPr>
          <w:rFonts w:asciiTheme="minorHAnsi" w:hAnsiTheme="minorHAnsi" w:cstheme="minorHAnsi"/>
          <w:kern w:val="21"/>
          <w:sz w:val="22"/>
          <w:szCs w:val="22"/>
        </w:rPr>
        <w:t>epletion</w:t>
      </w:r>
      <w:r w:rsidR="00EB39E3" w:rsidRPr="00300A92">
        <w:rPr>
          <w:rFonts w:asciiTheme="minorHAnsi" w:hAnsiTheme="minorHAnsi" w:cstheme="minorHAnsi"/>
          <w:kern w:val="21"/>
          <w:sz w:val="22"/>
          <w:szCs w:val="22"/>
        </w:rPr>
        <w:t xml:space="preserve"> within the small channels</w:t>
      </w:r>
      <w:r w:rsidR="00853E33" w:rsidRPr="00300A92">
        <w:rPr>
          <w:rFonts w:asciiTheme="minorHAnsi" w:hAnsiTheme="minorHAnsi" w:cstheme="minorHAnsi"/>
          <w:kern w:val="21"/>
          <w:sz w:val="22"/>
          <w:szCs w:val="22"/>
        </w:rPr>
        <w:t xml:space="preserve"> is detrimental to activity, resulting in the larger channel</w:t>
      </w:r>
      <w:r w:rsidR="00373811" w:rsidRPr="00300A92">
        <w:rPr>
          <w:rFonts w:asciiTheme="minorHAnsi" w:hAnsiTheme="minorHAnsi" w:cstheme="minorHAnsi"/>
          <w:kern w:val="21"/>
          <w:sz w:val="22"/>
          <w:szCs w:val="22"/>
        </w:rPr>
        <w:t xml:space="preserve"> nanozyme</w:t>
      </w:r>
      <w:r w:rsidR="00853E33" w:rsidRPr="00300A92">
        <w:rPr>
          <w:rFonts w:asciiTheme="minorHAnsi" w:hAnsiTheme="minorHAnsi" w:cstheme="minorHAnsi"/>
          <w:kern w:val="21"/>
          <w:sz w:val="22"/>
          <w:szCs w:val="22"/>
        </w:rPr>
        <w:t>s becoming more active by comparison</w:t>
      </w:r>
      <w:r w:rsidR="00300A92" w:rsidRPr="00300A92">
        <w:rPr>
          <w:rFonts w:asciiTheme="minorHAnsi" w:hAnsiTheme="minorHAnsi" w:cstheme="minorHAnsi"/>
          <w:kern w:val="21"/>
          <w:sz w:val="22"/>
          <w:szCs w:val="22"/>
        </w:rPr>
        <w:t>.</w:t>
      </w:r>
      <w:r w:rsidR="000170DF" w:rsidRPr="00300A92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3D0BD353" w14:textId="246CC793" w:rsidR="00EF12F3" w:rsidRPr="00165E47" w:rsidRDefault="00EF12F3" w:rsidP="00711813">
      <w:pPr>
        <w:jc w:val="both"/>
        <w:rPr>
          <w:rFonts w:ascii="Calibri" w:hAnsi="Calibri" w:cs="Calibri"/>
          <w:color w:val="C00000"/>
          <w:sz w:val="22"/>
          <w:szCs w:val="22"/>
          <w:lang w:val="en-AU"/>
        </w:rPr>
      </w:pPr>
    </w:p>
    <w:p w14:paraId="181C748C" w14:textId="69A26C2D" w:rsidR="00641190" w:rsidRPr="00300A92" w:rsidRDefault="00045573" w:rsidP="00711813">
      <w:pPr>
        <w:jc w:val="both"/>
        <w:rPr>
          <w:rFonts w:ascii="Calibri" w:hAnsi="Calibri" w:cs="Calibri"/>
          <w:sz w:val="22"/>
          <w:szCs w:val="22"/>
        </w:rPr>
      </w:pPr>
      <w:r w:rsidRPr="00300A92">
        <w:rPr>
          <w:rFonts w:ascii="Calibri" w:hAnsi="Calibri" w:cs="Calibri"/>
          <w:sz w:val="22"/>
          <w:szCs w:val="22"/>
        </w:rPr>
        <w:t xml:space="preserve">Conclusion. </w:t>
      </w:r>
    </w:p>
    <w:p w14:paraId="6A115470" w14:textId="26624810" w:rsidR="00232742" w:rsidRPr="00E03215" w:rsidRDefault="00BA57E1" w:rsidP="00711813">
      <w:pPr>
        <w:jc w:val="both"/>
        <w:rPr>
          <w:rFonts w:asciiTheme="minorHAnsi" w:hAnsiTheme="minorHAnsi" w:cstheme="minorHAnsi"/>
          <w:kern w:val="21"/>
          <w:sz w:val="22"/>
          <w:szCs w:val="22"/>
        </w:rPr>
      </w:pPr>
      <w:bookmarkStart w:id="4" w:name="_Hlk16360658"/>
      <w:r>
        <w:rPr>
          <w:rFonts w:asciiTheme="minorHAnsi" w:hAnsiTheme="minorHAnsi" w:cstheme="minorHAnsi"/>
          <w:kern w:val="21"/>
          <w:sz w:val="22"/>
          <w:szCs w:val="22"/>
        </w:rPr>
        <w:t>Electrocatalytic n</w:t>
      </w:r>
      <w:r w:rsidR="00232742" w:rsidRPr="00E03215">
        <w:rPr>
          <w:rFonts w:asciiTheme="minorHAnsi" w:hAnsiTheme="minorHAnsi" w:cstheme="minorHAnsi"/>
          <w:kern w:val="21"/>
          <w:sz w:val="22"/>
          <w:szCs w:val="22"/>
        </w:rPr>
        <w:t xml:space="preserve">anoconfinement </w:t>
      </w:r>
      <w:r w:rsidR="00062972" w:rsidRPr="00E03215">
        <w:rPr>
          <w:rFonts w:asciiTheme="minorHAnsi" w:hAnsiTheme="minorHAnsi" w:cstheme="minorHAnsi"/>
          <w:kern w:val="21"/>
          <w:sz w:val="22"/>
          <w:szCs w:val="22"/>
        </w:rPr>
        <w:t xml:space="preserve">has the potential to </w:t>
      </w:r>
      <w:r w:rsidR="00AC0094">
        <w:rPr>
          <w:rFonts w:asciiTheme="minorHAnsi" w:hAnsiTheme="minorHAnsi" w:cstheme="minorHAnsi"/>
          <w:kern w:val="21"/>
          <w:sz w:val="22"/>
          <w:szCs w:val="22"/>
        </w:rPr>
        <w:t xml:space="preserve">greatly </w:t>
      </w:r>
      <w:r w:rsidR="00062972" w:rsidRPr="00E03215">
        <w:rPr>
          <w:rFonts w:asciiTheme="minorHAnsi" w:hAnsiTheme="minorHAnsi" w:cstheme="minorHAnsi"/>
          <w:kern w:val="21"/>
          <w:sz w:val="22"/>
          <w:szCs w:val="22"/>
        </w:rPr>
        <w:t xml:space="preserve">enhance </w:t>
      </w:r>
      <w:r w:rsidR="00744858" w:rsidRPr="00E03215">
        <w:rPr>
          <w:rFonts w:asciiTheme="minorHAnsi" w:hAnsiTheme="minorHAnsi" w:cstheme="minorHAnsi"/>
          <w:kern w:val="21"/>
          <w:sz w:val="22"/>
          <w:szCs w:val="22"/>
        </w:rPr>
        <w:t>activity</w:t>
      </w:r>
      <w:r w:rsidR="00062972" w:rsidRPr="00E03215">
        <w:rPr>
          <w:rFonts w:asciiTheme="minorHAnsi" w:hAnsiTheme="minorHAnsi" w:cstheme="minorHAnsi"/>
          <w:kern w:val="21"/>
          <w:sz w:val="22"/>
          <w:szCs w:val="22"/>
        </w:rPr>
        <w:t xml:space="preserve"> </w:t>
      </w:r>
      <w:r w:rsidR="00AC0094">
        <w:rPr>
          <w:rFonts w:asciiTheme="minorHAnsi" w:hAnsiTheme="minorHAnsi" w:cstheme="minorHAnsi"/>
          <w:kern w:val="21"/>
          <w:sz w:val="22"/>
          <w:szCs w:val="22"/>
        </w:rPr>
        <w:t>by controlling reactant mass transport</w:t>
      </w:r>
      <w:r w:rsidR="00062972" w:rsidRPr="00E03215">
        <w:rPr>
          <w:rFonts w:asciiTheme="minorHAnsi" w:hAnsiTheme="minorHAnsi" w:cstheme="minorHAnsi"/>
          <w:kern w:val="21"/>
          <w:sz w:val="22"/>
          <w:szCs w:val="22"/>
        </w:rPr>
        <w:t xml:space="preserve">. </w:t>
      </w:r>
      <w:r>
        <w:rPr>
          <w:rFonts w:asciiTheme="minorHAnsi" w:hAnsiTheme="minorHAnsi" w:cstheme="minorHAnsi"/>
          <w:kern w:val="21"/>
          <w:sz w:val="22"/>
          <w:szCs w:val="22"/>
        </w:rPr>
        <w:t>This can lead to greater reaction selectivity by controlling the ch</w:t>
      </w:r>
      <w:r w:rsidR="00062972" w:rsidRPr="00E03215">
        <w:rPr>
          <w:rFonts w:asciiTheme="minorHAnsi" w:hAnsiTheme="minorHAnsi" w:cstheme="minorHAnsi"/>
          <w:kern w:val="21"/>
          <w:sz w:val="22"/>
          <w:szCs w:val="22"/>
        </w:rPr>
        <w:t>emistry inside substrate channel</w:t>
      </w:r>
      <w:r>
        <w:rPr>
          <w:rFonts w:asciiTheme="minorHAnsi" w:hAnsiTheme="minorHAnsi" w:cstheme="minorHAnsi"/>
          <w:kern w:val="21"/>
          <w:sz w:val="22"/>
          <w:szCs w:val="22"/>
        </w:rPr>
        <w:t>s.</w:t>
      </w:r>
    </w:p>
    <w:bookmarkEnd w:id="4"/>
    <w:p w14:paraId="766DA9A5" w14:textId="60863F4C" w:rsidR="004E5450" w:rsidRPr="00857C17" w:rsidRDefault="004E5450" w:rsidP="00711813">
      <w:pPr>
        <w:jc w:val="both"/>
        <w:rPr>
          <w:rFonts w:ascii="Calibri" w:hAnsi="Calibri" w:cs="Calibri"/>
          <w:color w:val="C00000"/>
          <w:sz w:val="22"/>
          <w:szCs w:val="22"/>
          <w:lang w:val="en-AU"/>
        </w:rPr>
      </w:pPr>
    </w:p>
    <w:p w14:paraId="193725D9" w14:textId="52D5785E" w:rsidR="005F19FF" w:rsidRPr="00AF2C28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AF2C28">
        <w:rPr>
          <w:rFonts w:ascii="Calibri" w:hAnsi="Calibri" w:cs="Calibri"/>
          <w:b/>
          <w:lang w:val="en-AU"/>
        </w:rPr>
        <w:t>References</w:t>
      </w:r>
    </w:p>
    <w:p w14:paraId="0633DC4E" w14:textId="3B295DE1" w:rsidR="00C13D8B" w:rsidRPr="00203F39" w:rsidRDefault="00452FCF" w:rsidP="00203F39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C13D8B" w:rsidRPr="00203F39">
        <w:rPr>
          <w:rFonts w:asciiTheme="minorHAnsi" w:hAnsiTheme="minorHAnsi" w:cstheme="minorHAnsi"/>
          <w:sz w:val="22"/>
          <w:szCs w:val="22"/>
        </w:rPr>
        <w:t xml:space="preserve">Benedetti, T. M.; Andronescu, C.; Cheong, S.; Wilde, P.; Wordsworth, J.; Kientz, M.; Tilley, R. D.; Schuhmann, W.; Gooding, J. J. (2018). Electrocatalytic nanoparticles that mimic the three-dimensional geometric architecture of enzymes: Nanozymes. </w:t>
      </w:r>
      <w:r w:rsidR="00C13D8B" w:rsidRPr="00203F39">
        <w:rPr>
          <w:rFonts w:asciiTheme="minorHAnsi" w:hAnsiTheme="minorHAnsi" w:cstheme="minorHAnsi"/>
          <w:i/>
          <w:iCs/>
          <w:sz w:val="22"/>
          <w:szCs w:val="22"/>
        </w:rPr>
        <w:t xml:space="preserve">J. Am. Chem. Soc., </w:t>
      </w:r>
      <w:r w:rsidR="00C13D8B" w:rsidRPr="00203F39">
        <w:rPr>
          <w:rFonts w:asciiTheme="minorHAnsi" w:hAnsiTheme="minorHAnsi" w:cstheme="minorHAnsi"/>
          <w:sz w:val="22"/>
          <w:szCs w:val="22"/>
        </w:rPr>
        <w:t>140, 41, 13449-13455.</w:t>
      </w:r>
    </w:p>
    <w:sectPr w:rsidR="00C13D8B" w:rsidRPr="00203F39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6590"/>
    <w:multiLevelType w:val="hybridMultilevel"/>
    <w:tmpl w:val="BF12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1D6"/>
    <w:multiLevelType w:val="hybridMultilevel"/>
    <w:tmpl w:val="B406D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dtw0rt9l0dpf9esawyp0pxvf02xsz9292ar&quot;&gt;EndNote&lt;record-ids&gt;&lt;item&gt;45&lt;/item&gt;&lt;/record-ids&gt;&lt;/item&gt;&lt;/Libraries&gt;"/>
  </w:docVars>
  <w:rsids>
    <w:rsidRoot w:val="002226BB"/>
    <w:rsid w:val="000170DF"/>
    <w:rsid w:val="00021C81"/>
    <w:rsid w:val="0004118E"/>
    <w:rsid w:val="00045573"/>
    <w:rsid w:val="000467B5"/>
    <w:rsid w:val="00054A08"/>
    <w:rsid w:val="00062972"/>
    <w:rsid w:val="0015022D"/>
    <w:rsid w:val="0015486B"/>
    <w:rsid w:val="00165E47"/>
    <w:rsid w:val="001A21AD"/>
    <w:rsid w:val="001B6226"/>
    <w:rsid w:val="00203F39"/>
    <w:rsid w:val="002078AD"/>
    <w:rsid w:val="002226BB"/>
    <w:rsid w:val="00225236"/>
    <w:rsid w:val="002272B0"/>
    <w:rsid w:val="00232742"/>
    <w:rsid w:val="00251C05"/>
    <w:rsid w:val="002604FD"/>
    <w:rsid w:val="00292DB3"/>
    <w:rsid w:val="00300A92"/>
    <w:rsid w:val="00300B92"/>
    <w:rsid w:val="0030585E"/>
    <w:rsid w:val="0034193E"/>
    <w:rsid w:val="003429FD"/>
    <w:rsid w:val="00373811"/>
    <w:rsid w:val="00387491"/>
    <w:rsid w:val="003E7D13"/>
    <w:rsid w:val="003F4B69"/>
    <w:rsid w:val="004142D5"/>
    <w:rsid w:val="00423612"/>
    <w:rsid w:val="00436D6D"/>
    <w:rsid w:val="00444088"/>
    <w:rsid w:val="00452FCF"/>
    <w:rsid w:val="00462399"/>
    <w:rsid w:val="00483B05"/>
    <w:rsid w:val="00490913"/>
    <w:rsid w:val="004B7A54"/>
    <w:rsid w:val="004E28B9"/>
    <w:rsid w:val="004E5450"/>
    <w:rsid w:val="0055229D"/>
    <w:rsid w:val="00556F64"/>
    <w:rsid w:val="00562D19"/>
    <w:rsid w:val="00567127"/>
    <w:rsid w:val="00586711"/>
    <w:rsid w:val="00590DC4"/>
    <w:rsid w:val="00594005"/>
    <w:rsid w:val="0059609A"/>
    <w:rsid w:val="00596D7D"/>
    <w:rsid w:val="00597659"/>
    <w:rsid w:val="005E04BC"/>
    <w:rsid w:val="005E48A2"/>
    <w:rsid w:val="005F19FF"/>
    <w:rsid w:val="00631CFF"/>
    <w:rsid w:val="00641190"/>
    <w:rsid w:val="00664821"/>
    <w:rsid w:val="00672C86"/>
    <w:rsid w:val="006B02FA"/>
    <w:rsid w:val="006B3866"/>
    <w:rsid w:val="006B6257"/>
    <w:rsid w:val="006D5687"/>
    <w:rsid w:val="007037E0"/>
    <w:rsid w:val="00711813"/>
    <w:rsid w:val="00724E3C"/>
    <w:rsid w:val="00741892"/>
    <w:rsid w:val="00743C46"/>
    <w:rsid w:val="00744858"/>
    <w:rsid w:val="0076587B"/>
    <w:rsid w:val="00773DC7"/>
    <w:rsid w:val="007920BC"/>
    <w:rsid w:val="00793D65"/>
    <w:rsid w:val="007E3DC0"/>
    <w:rsid w:val="007F06EA"/>
    <w:rsid w:val="00804E8C"/>
    <w:rsid w:val="0082594F"/>
    <w:rsid w:val="00853E33"/>
    <w:rsid w:val="00857C17"/>
    <w:rsid w:val="00870118"/>
    <w:rsid w:val="008909C9"/>
    <w:rsid w:val="008B57F5"/>
    <w:rsid w:val="008B5EBD"/>
    <w:rsid w:val="00902E73"/>
    <w:rsid w:val="009217ED"/>
    <w:rsid w:val="00931A3D"/>
    <w:rsid w:val="00947B77"/>
    <w:rsid w:val="00956C79"/>
    <w:rsid w:val="00973281"/>
    <w:rsid w:val="009D0B00"/>
    <w:rsid w:val="009E2228"/>
    <w:rsid w:val="009F06D6"/>
    <w:rsid w:val="009F1995"/>
    <w:rsid w:val="00A12DA4"/>
    <w:rsid w:val="00A266B4"/>
    <w:rsid w:val="00AA46AA"/>
    <w:rsid w:val="00AC0094"/>
    <w:rsid w:val="00AD6C08"/>
    <w:rsid w:val="00AD74CA"/>
    <w:rsid w:val="00AF27EC"/>
    <w:rsid w:val="00AF2C28"/>
    <w:rsid w:val="00B01A4E"/>
    <w:rsid w:val="00B074E3"/>
    <w:rsid w:val="00B446EE"/>
    <w:rsid w:val="00BA57E1"/>
    <w:rsid w:val="00BB7896"/>
    <w:rsid w:val="00BC5FCC"/>
    <w:rsid w:val="00C13D8B"/>
    <w:rsid w:val="00C252BA"/>
    <w:rsid w:val="00C60A71"/>
    <w:rsid w:val="00CA2377"/>
    <w:rsid w:val="00CC165A"/>
    <w:rsid w:val="00CD3FF4"/>
    <w:rsid w:val="00D333A9"/>
    <w:rsid w:val="00D55F3B"/>
    <w:rsid w:val="00D80019"/>
    <w:rsid w:val="00D97D54"/>
    <w:rsid w:val="00DA2731"/>
    <w:rsid w:val="00DC0ABB"/>
    <w:rsid w:val="00DF1C8E"/>
    <w:rsid w:val="00DF7120"/>
    <w:rsid w:val="00E03215"/>
    <w:rsid w:val="00E119B3"/>
    <w:rsid w:val="00E32EDA"/>
    <w:rsid w:val="00E74A64"/>
    <w:rsid w:val="00EB39E3"/>
    <w:rsid w:val="00EF009A"/>
    <w:rsid w:val="00EF12F3"/>
    <w:rsid w:val="00F26BBE"/>
    <w:rsid w:val="00F43A61"/>
    <w:rsid w:val="00F61CCB"/>
    <w:rsid w:val="00F70671"/>
    <w:rsid w:val="00F77924"/>
    <w:rsid w:val="00F921FC"/>
    <w:rsid w:val="00F97620"/>
    <w:rsid w:val="00FA197B"/>
    <w:rsid w:val="00FC49EA"/>
    <w:rsid w:val="00FC4EA7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StyleFACorrespondingAuthorFootnote7pt">
    <w:name w:val="Style FA_Corresponding_Author_Footnote + 7 pt"/>
    <w:basedOn w:val="Normal"/>
    <w:next w:val="Normal"/>
    <w:link w:val="StyleFACorrespondingAuthorFootnote7ptChar"/>
    <w:autoRedefine/>
    <w:rsid w:val="001B6226"/>
    <w:rPr>
      <w:rFonts w:asciiTheme="minorHAnsi" w:hAnsiTheme="minorHAnsi" w:cstheme="minorHAnsi"/>
      <w:kern w:val="20"/>
      <w:sz w:val="22"/>
      <w:szCs w:val="22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1B6226"/>
    <w:rPr>
      <w:rFonts w:asciiTheme="minorHAnsi" w:hAnsiTheme="minorHAnsi" w:cstheme="minorHAnsi"/>
      <w:kern w:val="20"/>
      <w:sz w:val="22"/>
      <w:szCs w:val="22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021C81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21C81"/>
    <w:rPr>
      <w:rFonts w:ascii="Calibri" w:hAnsi="Calibri" w:cs="Calibri"/>
      <w:noProof/>
      <w:sz w:val="22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21C81"/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21C81"/>
    <w:rPr>
      <w:rFonts w:ascii="Calibri" w:hAnsi="Calibri" w:cs="Calibri"/>
      <w:noProof/>
      <w:sz w:val="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4642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Johanna Wordsworth</cp:lastModifiedBy>
  <cp:revision>17</cp:revision>
  <cp:lastPrinted>2013-06-13T05:15:00Z</cp:lastPrinted>
  <dcterms:created xsi:type="dcterms:W3CDTF">2019-08-14T03:15:00Z</dcterms:created>
  <dcterms:modified xsi:type="dcterms:W3CDTF">2019-08-16T02:32:00Z</dcterms:modified>
</cp:coreProperties>
</file>