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EA2E" w14:textId="26FDC7D8" w:rsidR="00711813" w:rsidRPr="004E5450" w:rsidRDefault="00511A3C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 xml:space="preserve">Activation and allosteric modulation of </w:t>
      </w:r>
      <w:r w:rsidR="003857F2" w:rsidRPr="00DE3248">
        <w:rPr>
          <w:rFonts w:ascii="Calibri" w:hAnsi="Calibri" w:cs="Calibri"/>
          <w:b/>
          <w:sz w:val="20"/>
          <w:szCs w:val="20"/>
          <w:lang w:val="en-AU"/>
        </w:rPr>
        <w:t xml:space="preserve">the human </w:t>
      </w:r>
      <w:r w:rsidR="00122C80">
        <w:rPr>
          <w:rFonts w:ascii="Calibri" w:hAnsi="Calibri" w:cs="Calibri"/>
          <w:b/>
          <w:sz w:val="20"/>
          <w:szCs w:val="20"/>
          <w:lang w:val="en-AU"/>
        </w:rPr>
        <w:t>GLP-1R</w:t>
      </w:r>
      <w:r w:rsidR="003857F2"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b/>
          <w:sz w:val="20"/>
          <w:szCs w:val="20"/>
          <w:lang w:val="en-AU"/>
        </w:rPr>
        <w:t>by small-molecule ligands</w:t>
      </w:r>
    </w:p>
    <w:p w14:paraId="773F477A" w14:textId="01070476" w:rsidR="00511A3C" w:rsidRPr="003C28E1" w:rsidRDefault="00511A3C" w:rsidP="00511A3C">
      <w:pPr>
        <w:jc w:val="both"/>
        <w:rPr>
          <w:rFonts w:ascii="SimSun" w:hAnsi="SimSun" w:cs="SimSun"/>
          <w:sz w:val="20"/>
          <w:szCs w:val="20"/>
          <w:lang w:val="en-AU" w:eastAsia="zh-CN"/>
        </w:rPr>
      </w:pPr>
      <w:r>
        <w:rPr>
          <w:rFonts w:ascii="Calibri" w:hAnsi="Calibri" w:cs="Calibri"/>
          <w:sz w:val="20"/>
          <w:szCs w:val="20"/>
          <w:lang w:val="en-AU"/>
        </w:rPr>
        <w:t>Xin Zhang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,2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511A3C">
        <w:rPr>
          <w:rFonts w:ascii="Calibri" w:hAnsi="Calibri" w:cs="Calibri"/>
          <w:sz w:val="20"/>
          <w:szCs w:val="20"/>
          <w:lang w:val="en-AU"/>
        </w:rPr>
        <w:t>Hariprasad Venugopal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511A3C">
        <w:rPr>
          <w:rFonts w:ascii="Calibri" w:hAnsi="Calibri" w:cs="Calibri"/>
          <w:sz w:val="20"/>
          <w:szCs w:val="20"/>
          <w:lang w:val="en-AU"/>
        </w:rPr>
        <w:t>Samantha McNeill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, Matthew J. Belousoff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>
        <w:rPr>
          <w:rFonts w:ascii="Calibri" w:hAnsi="Calibri" w:cs="Calibri"/>
          <w:sz w:val="20"/>
          <w:szCs w:val="20"/>
          <w:lang w:val="en-AU"/>
        </w:rPr>
        <w:t>, Patrick M. Sexton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>
        <w:rPr>
          <w:rFonts w:ascii="Calibri" w:hAnsi="Calibri" w:cs="Calibri"/>
          <w:sz w:val="20"/>
          <w:szCs w:val="20"/>
          <w:lang w:val="en-AU"/>
        </w:rPr>
        <w:t>,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Denise Wootten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4E3934">
        <w:rPr>
          <w:rFonts w:ascii="Calibri" w:hAnsi="Calibri" w:cs="Calibri"/>
          <w:sz w:val="20"/>
          <w:szCs w:val="20"/>
          <w:lang w:val="en-AU"/>
        </w:rPr>
        <w:t>Drug Discovery Biology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E5450">
        <w:rPr>
          <w:rFonts w:ascii="Calibri" w:hAnsi="Calibri" w:cs="Calibri"/>
          <w:sz w:val="20"/>
          <w:szCs w:val="20"/>
          <w:lang w:val="en-AU"/>
        </w:rPr>
        <w:t>,</w:t>
      </w:r>
      <w:r>
        <w:rPr>
          <w:rFonts w:ascii="Calibri" w:hAnsi="Calibri" w:cs="Calibri"/>
          <w:sz w:val="20"/>
          <w:szCs w:val="20"/>
          <w:lang w:val="en-AU"/>
        </w:rPr>
        <w:t xml:space="preserve"> and </w:t>
      </w:r>
      <w:r w:rsidRPr="00DE3248">
        <w:rPr>
          <w:rFonts w:ascii="Calibri" w:hAnsi="Calibri" w:cs="Calibri"/>
          <w:sz w:val="20"/>
          <w:szCs w:val="20"/>
          <w:lang w:val="en-AU"/>
        </w:rPr>
        <w:t xml:space="preserve">ARC </w:t>
      </w:r>
      <w:r w:rsidR="00265EE2">
        <w:rPr>
          <w:rFonts w:ascii="Calibri" w:hAnsi="Calibri" w:cs="Calibri"/>
          <w:sz w:val="20"/>
          <w:szCs w:val="20"/>
          <w:lang w:val="en-AU"/>
        </w:rPr>
        <w:t>CCeMM</w:t>
      </w:r>
      <w:r w:rsidRPr="00DE3248">
        <w:rPr>
          <w:rFonts w:ascii="Calibri" w:hAnsi="Calibri" w:cs="Calibri"/>
          <w:sz w:val="20"/>
          <w:szCs w:val="20"/>
          <w:lang w:val="en-AU"/>
        </w:rPr>
        <w:t>P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DE3248">
        <w:rPr>
          <w:rFonts w:ascii="Calibri" w:hAnsi="Calibri" w:cs="Calibri"/>
          <w:sz w:val="20"/>
          <w:szCs w:val="20"/>
          <w:lang w:val="en-AU"/>
        </w:rPr>
        <w:t xml:space="preserve">, Monash Institute of Pharmaceutical Sciences, </w:t>
      </w:r>
      <w:r w:rsidRPr="00511A3C">
        <w:rPr>
          <w:rFonts w:ascii="Calibri" w:hAnsi="Calibri" w:cs="Calibri"/>
          <w:sz w:val="20"/>
          <w:szCs w:val="20"/>
          <w:lang w:val="en-AU"/>
        </w:rPr>
        <w:t>and Ramaciotti Centre for Cryo-Electron Microscopy</w:t>
      </w:r>
      <w:r w:rsidRPr="00511A3C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DE3248">
        <w:rPr>
          <w:rFonts w:ascii="Calibri" w:hAnsi="Calibri" w:cs="Calibri"/>
          <w:sz w:val="20"/>
          <w:szCs w:val="20"/>
          <w:lang w:val="en-AU"/>
        </w:rPr>
        <w:t xml:space="preserve">Monash University, </w:t>
      </w:r>
      <w:r>
        <w:rPr>
          <w:rFonts w:ascii="Calibri" w:hAnsi="Calibri" w:cs="Calibri"/>
          <w:sz w:val="20"/>
          <w:szCs w:val="20"/>
          <w:lang w:val="en-AU"/>
        </w:rPr>
        <w:t>Melbourne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VIC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3C28E1">
        <w:rPr>
          <w:rFonts w:ascii="SimSun" w:hAnsi="SimSun" w:cs="SimSun"/>
          <w:sz w:val="20"/>
          <w:szCs w:val="20"/>
          <w:lang w:val="en-AU" w:eastAsia="zh-CN"/>
        </w:rPr>
        <w:t>.</w:t>
      </w:r>
    </w:p>
    <w:p w14:paraId="5AC1BB2C" w14:textId="3C519F49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55365B94" w14:textId="22588D96" w:rsidR="00711813" w:rsidRPr="004E5450" w:rsidRDefault="008F20D6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noProof/>
        </w:rPr>
        <w:drawing>
          <wp:anchor distT="6096" distB="34671" distL="163068" distR="115443" simplePos="0" relativeHeight="251657728" behindDoc="0" locked="0" layoutInCell="1" allowOverlap="1" wp14:anchorId="2CCC8496" wp14:editId="3BC726D6">
            <wp:simplePos x="0" y="0"/>
            <wp:positionH relativeFrom="column">
              <wp:posOffset>3557905</wp:posOffset>
            </wp:positionH>
            <wp:positionV relativeFrom="paragraph">
              <wp:posOffset>22860</wp:posOffset>
            </wp:positionV>
            <wp:extent cx="2620010" cy="1381125"/>
            <wp:effectExtent l="0" t="0" r="0" b="3175"/>
            <wp:wrapSquare wrapText="bothSides"/>
            <wp:docPr id="2" name="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13"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857F2" w:rsidRPr="003857F2">
        <w:rPr>
          <w:rFonts w:ascii="Calibri" w:hAnsi="Calibri" w:cs="Calibri"/>
          <w:sz w:val="20"/>
          <w:szCs w:val="20"/>
          <w:lang w:val="en-AU"/>
        </w:rPr>
        <w:t>The glucagon-like peptide 1 receptor (GLP-1R) is a well-established clinical target for type II diabetes</w:t>
      </w:r>
      <w:r w:rsidR="00A943E3">
        <w:rPr>
          <w:rFonts w:ascii="Calibri" w:hAnsi="Calibri" w:cs="Calibri"/>
          <w:sz w:val="20"/>
          <w:szCs w:val="20"/>
          <w:lang w:val="en-AU"/>
        </w:rPr>
        <w:t xml:space="preserve"> and obesity</w:t>
      </w:r>
      <w:r w:rsidR="003857F2" w:rsidRPr="003857F2">
        <w:rPr>
          <w:rFonts w:ascii="Calibri" w:hAnsi="Calibri" w:cs="Calibri"/>
          <w:sz w:val="20"/>
          <w:szCs w:val="20"/>
          <w:lang w:val="en-AU"/>
        </w:rPr>
        <w:t>. A variety of GLP-1R non-peptidic agonists</w:t>
      </w:r>
      <w:r w:rsidR="003C28E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857F2" w:rsidRPr="003857F2">
        <w:rPr>
          <w:rFonts w:ascii="Calibri" w:hAnsi="Calibri" w:cs="Calibri"/>
          <w:sz w:val="20"/>
          <w:szCs w:val="20"/>
          <w:lang w:val="en-AU"/>
        </w:rPr>
        <w:t>and positive allosteric modulators (PAMs) have been identified, however, how they bind and modulate GLP-1R function is poorly understood.</w:t>
      </w:r>
      <w:r w:rsidR="003857F2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21641961" w14:textId="06E295AF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3857F2" w:rsidRPr="003857F2">
        <w:rPr>
          <w:rFonts w:ascii="Calibri" w:hAnsi="Calibri" w:cs="Calibri"/>
          <w:sz w:val="20"/>
          <w:szCs w:val="20"/>
          <w:lang w:val="en-AU"/>
        </w:rPr>
        <w:t xml:space="preserve">Determine structures of GLP-1R-Gs complexes bound </w:t>
      </w:r>
      <w:r w:rsidR="003857F2">
        <w:rPr>
          <w:rFonts w:ascii="Calibri" w:hAnsi="Calibri" w:cs="Calibri"/>
          <w:sz w:val="20"/>
          <w:szCs w:val="20"/>
          <w:lang w:val="en-AU"/>
        </w:rPr>
        <w:t>to</w:t>
      </w:r>
      <w:r w:rsidR="003C28E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857F2" w:rsidRPr="003857F2">
        <w:rPr>
          <w:rFonts w:ascii="Calibri" w:hAnsi="Calibri" w:cs="Calibri"/>
          <w:sz w:val="20"/>
          <w:szCs w:val="20"/>
          <w:lang w:val="en-AU"/>
        </w:rPr>
        <w:t>different endogenous peptide agonist</w:t>
      </w:r>
      <w:r w:rsidR="003C28E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C28E1" w:rsidRPr="003C28E1">
        <w:rPr>
          <w:rFonts w:ascii="Calibri" w:hAnsi="Calibri" w:cs="Calibri"/>
          <w:sz w:val="20"/>
          <w:szCs w:val="20"/>
          <w:lang w:val="en-AU"/>
        </w:rPr>
        <w:t>(GLP-1, GLP-1(9-36)NH</w:t>
      </w:r>
      <w:r w:rsidR="003C28E1" w:rsidRPr="003C28E1">
        <w:rPr>
          <w:rFonts w:ascii="Calibri" w:hAnsi="Calibri" w:cs="Calibri"/>
          <w:sz w:val="20"/>
          <w:szCs w:val="20"/>
          <w:vertAlign w:val="subscript"/>
          <w:lang w:val="en-AU"/>
        </w:rPr>
        <w:t>2</w:t>
      </w:r>
      <w:r w:rsidR="003C28E1" w:rsidRPr="003C28E1">
        <w:rPr>
          <w:rFonts w:ascii="Calibri" w:hAnsi="Calibri" w:cs="Calibri"/>
          <w:sz w:val="20"/>
          <w:szCs w:val="20"/>
          <w:lang w:val="en-AU"/>
        </w:rPr>
        <w:t>, oxyntomodulin)</w:t>
      </w:r>
      <w:r w:rsidR="003C28E1">
        <w:rPr>
          <w:rFonts w:ascii="Calibri" w:hAnsi="Calibri" w:cs="Calibri"/>
          <w:sz w:val="20"/>
          <w:szCs w:val="20"/>
          <w:lang w:val="en-AU"/>
        </w:rPr>
        <w:t>, biased</w:t>
      </w:r>
      <w:r w:rsidR="003857F2" w:rsidRPr="003857F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857F2">
        <w:rPr>
          <w:rFonts w:ascii="Calibri" w:hAnsi="Calibri" w:cs="Calibri"/>
          <w:sz w:val="20"/>
          <w:szCs w:val="20"/>
          <w:lang w:val="en-AU"/>
        </w:rPr>
        <w:t xml:space="preserve">small-molecule agonists </w:t>
      </w:r>
      <w:r w:rsidR="003C28E1" w:rsidRPr="003C28E1">
        <w:rPr>
          <w:rFonts w:ascii="Calibri" w:hAnsi="Calibri" w:cs="Calibri"/>
          <w:sz w:val="20"/>
          <w:szCs w:val="20"/>
          <w:lang w:val="en-AU"/>
        </w:rPr>
        <w:t>(PF 06882961</w:t>
      </w:r>
      <w:r w:rsidR="0053136D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3C28E1" w:rsidRPr="003C28E1">
        <w:rPr>
          <w:rFonts w:ascii="Calibri" w:hAnsi="Calibri" w:cs="Calibri"/>
          <w:sz w:val="20"/>
          <w:szCs w:val="20"/>
          <w:lang w:val="en-AU"/>
        </w:rPr>
        <w:t>CHU-128)</w:t>
      </w:r>
      <w:r w:rsidR="003C28E1">
        <w:rPr>
          <w:rFonts w:ascii="Calibri" w:hAnsi="Calibri" w:cs="Calibri"/>
          <w:sz w:val="20"/>
          <w:szCs w:val="20"/>
          <w:lang w:val="en-AU"/>
        </w:rPr>
        <w:t xml:space="preserve"> or</w:t>
      </w:r>
      <w:r w:rsidR="003857F2">
        <w:rPr>
          <w:rFonts w:ascii="Calibri" w:hAnsi="Calibri" w:cs="Calibri"/>
          <w:sz w:val="20"/>
          <w:szCs w:val="20"/>
          <w:lang w:val="en-AU"/>
        </w:rPr>
        <w:t xml:space="preserve"> PAMs</w:t>
      </w:r>
      <w:r w:rsidR="003C28E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C28E1" w:rsidRPr="003C28E1">
        <w:rPr>
          <w:rFonts w:ascii="Calibri" w:hAnsi="Calibri" w:cs="Calibri"/>
          <w:sz w:val="20"/>
          <w:szCs w:val="20"/>
          <w:lang w:val="en-AU"/>
        </w:rPr>
        <w:t>(compound 19</w:t>
      </w:r>
      <w:r w:rsidR="0053136D">
        <w:rPr>
          <w:rFonts w:ascii="Calibri" w:hAnsi="Calibri" w:cs="Calibri"/>
          <w:sz w:val="20"/>
          <w:szCs w:val="20"/>
          <w:lang w:val="en-AU"/>
        </w:rPr>
        <w:t>,</w:t>
      </w:r>
      <w:r w:rsidR="003C28E1" w:rsidRPr="003C28E1">
        <w:rPr>
          <w:rFonts w:ascii="Calibri" w:hAnsi="Calibri" w:cs="Calibri"/>
          <w:sz w:val="20"/>
          <w:szCs w:val="20"/>
          <w:lang w:val="en-AU"/>
        </w:rPr>
        <w:t xml:space="preserve"> compound 2)</w:t>
      </w:r>
      <w:r w:rsidR="003857F2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3857F2" w:rsidRPr="003857F2">
        <w:rPr>
          <w:rFonts w:ascii="Calibri" w:hAnsi="Calibri" w:cs="Calibri"/>
          <w:sz w:val="20"/>
          <w:szCs w:val="20"/>
          <w:lang w:val="en-AU"/>
        </w:rPr>
        <w:t xml:space="preserve">and correlate these with </w:t>
      </w:r>
      <w:r w:rsidR="003857F2">
        <w:rPr>
          <w:rFonts w:ascii="Calibri" w:hAnsi="Calibri" w:cs="Calibri"/>
          <w:sz w:val="20"/>
          <w:szCs w:val="20"/>
          <w:lang w:val="en-AU"/>
        </w:rPr>
        <w:t xml:space="preserve">their </w:t>
      </w:r>
      <w:r w:rsidR="003857F2" w:rsidRPr="003857F2">
        <w:rPr>
          <w:rFonts w:ascii="Calibri" w:hAnsi="Calibri" w:cs="Calibri"/>
          <w:sz w:val="20"/>
          <w:szCs w:val="20"/>
          <w:lang w:val="en-AU"/>
        </w:rPr>
        <w:t>pharmacological profiles.</w:t>
      </w:r>
      <w:r w:rsidR="003857F2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182E6533" w14:textId="1FD46A41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3857F2" w:rsidRPr="003857F2">
        <w:rPr>
          <w:rFonts w:ascii="Calibri" w:hAnsi="Calibri" w:cs="Calibri"/>
          <w:sz w:val="20"/>
          <w:szCs w:val="20"/>
          <w:lang w:val="en-AU"/>
        </w:rPr>
        <w:t>Structures of GLP-1R-Gs complexes were determined using cryo-electron microscopy (cryo-EM). Pharmacological profiles were assessed using assays of well-studied downstream signalling (cAMP production and calcium mobilisation) and regulatory (arrestin recruitment, internalisation) events.</w:t>
      </w:r>
    </w:p>
    <w:p w14:paraId="1727BCC9" w14:textId="69314AEE" w:rsidR="001E544C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3136D">
        <w:rPr>
          <w:rFonts w:ascii="Calibri" w:hAnsi="Calibri" w:cs="Calibri"/>
          <w:sz w:val="20"/>
          <w:szCs w:val="20"/>
          <w:lang w:val="en-AU"/>
        </w:rPr>
        <w:t>T</w:t>
      </w:r>
      <w:r w:rsidR="00265EE2" w:rsidRPr="00265EE2">
        <w:rPr>
          <w:rFonts w:ascii="Calibri" w:hAnsi="Calibri" w:cs="Calibri"/>
          <w:sz w:val="20"/>
          <w:szCs w:val="20"/>
          <w:lang w:val="en-AU"/>
        </w:rPr>
        <w:t>he binding site for PF 06882961 exhibits substantial overlap with that of endogenous peptide agonists within the receptor core. In contrast, CHU-128 displays limited overlap, which aligns with its divergent pharmacological properties</w:t>
      </w:r>
      <w:r w:rsidR="0053136D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53136D" w:rsidRPr="00AA3BD6">
        <w:rPr>
          <w:rFonts w:ascii="Calibri" w:hAnsi="Calibri" w:cs="Calibri"/>
          <w:sz w:val="20"/>
          <w:szCs w:val="20"/>
          <w:lang w:val="en-AU"/>
        </w:rPr>
        <w:t>Deganutti</w:t>
      </w:r>
      <w:r w:rsidR="0053136D">
        <w:rPr>
          <w:rFonts w:ascii="Calibri" w:hAnsi="Calibri" w:cs="Calibri"/>
          <w:sz w:val="20"/>
          <w:szCs w:val="20"/>
          <w:lang w:val="en-AU"/>
        </w:rPr>
        <w:t xml:space="preserve"> et al 2022, Zhang et al 2020)</w:t>
      </w:r>
      <w:r w:rsidR="00265EE2" w:rsidRPr="00265EE2">
        <w:rPr>
          <w:rFonts w:ascii="Calibri" w:hAnsi="Calibri" w:cs="Calibri"/>
          <w:sz w:val="20"/>
          <w:szCs w:val="20"/>
          <w:lang w:val="en-AU"/>
        </w:rPr>
        <w:t xml:space="preserve">. Surprisingly, </w:t>
      </w:r>
      <w:r w:rsidR="008F20D6">
        <w:rPr>
          <w:rFonts w:ascii="Calibri" w:hAnsi="Calibri" w:cs="Calibri"/>
          <w:sz w:val="20"/>
          <w:szCs w:val="20"/>
          <w:lang w:val="en-AU"/>
        </w:rPr>
        <w:t xml:space="preserve">compound </w:t>
      </w:r>
      <w:r w:rsidR="00265EE2" w:rsidRPr="00265EE2">
        <w:rPr>
          <w:rFonts w:ascii="Calibri" w:hAnsi="Calibri" w:cs="Calibri"/>
          <w:sz w:val="20"/>
          <w:szCs w:val="20"/>
          <w:lang w:val="en-AU"/>
        </w:rPr>
        <w:t>19 engages at the extracellular side of the receptor, while compound 2 bind</w:t>
      </w:r>
      <w:r w:rsidR="001E544C">
        <w:rPr>
          <w:rFonts w:ascii="Calibri" w:hAnsi="Calibri" w:cs="Calibri"/>
          <w:sz w:val="20"/>
          <w:szCs w:val="20"/>
          <w:lang w:val="en-AU"/>
        </w:rPr>
        <w:t>s</w:t>
      </w:r>
      <w:r w:rsidR="00265EE2" w:rsidRPr="00265EE2">
        <w:rPr>
          <w:rFonts w:ascii="Calibri" w:hAnsi="Calibri" w:cs="Calibri"/>
          <w:sz w:val="20"/>
          <w:szCs w:val="20"/>
          <w:lang w:val="en-AU"/>
        </w:rPr>
        <w:t xml:space="preserve"> to the intracellular end. </w:t>
      </w:r>
      <w:r w:rsidR="001E544C" w:rsidRPr="001E544C">
        <w:rPr>
          <w:rFonts w:ascii="Calibri" w:hAnsi="Calibri" w:cs="Calibri"/>
          <w:sz w:val="20"/>
          <w:szCs w:val="20"/>
          <w:lang w:val="en-AU"/>
        </w:rPr>
        <w:t>This correlates with the probe dependent properties of the</w:t>
      </w:r>
      <w:r w:rsidR="001E544C">
        <w:rPr>
          <w:rFonts w:ascii="Calibri" w:hAnsi="Calibri" w:cs="Calibri"/>
          <w:sz w:val="20"/>
          <w:szCs w:val="20"/>
          <w:lang w:val="en-AU"/>
        </w:rPr>
        <w:t>se</w:t>
      </w:r>
      <w:r w:rsidR="001E544C" w:rsidRPr="001E544C">
        <w:rPr>
          <w:rFonts w:ascii="Calibri" w:hAnsi="Calibri" w:cs="Calibri"/>
          <w:sz w:val="20"/>
          <w:szCs w:val="20"/>
          <w:lang w:val="en-AU"/>
        </w:rPr>
        <w:t xml:space="preserve"> PAM</w:t>
      </w:r>
      <w:r w:rsidR="001E544C">
        <w:rPr>
          <w:rFonts w:ascii="Calibri" w:hAnsi="Calibri" w:cs="Calibri"/>
          <w:sz w:val="20"/>
          <w:szCs w:val="20"/>
          <w:lang w:val="en-AU"/>
        </w:rPr>
        <w:t>s</w:t>
      </w:r>
      <w:r w:rsidR="001E544C" w:rsidRPr="001E544C">
        <w:rPr>
          <w:rFonts w:ascii="Calibri" w:hAnsi="Calibri" w:cs="Calibri"/>
          <w:sz w:val="20"/>
          <w:szCs w:val="20"/>
          <w:lang w:val="en-AU"/>
        </w:rPr>
        <w:t xml:space="preserve">, which </w:t>
      </w:r>
      <w:r w:rsidR="001E544C">
        <w:rPr>
          <w:rFonts w:ascii="Calibri" w:hAnsi="Calibri" w:cs="Calibri"/>
          <w:sz w:val="20"/>
          <w:szCs w:val="20"/>
          <w:lang w:val="en-AU"/>
        </w:rPr>
        <w:t xml:space="preserve">differently </w:t>
      </w:r>
      <w:r w:rsidR="001E544C" w:rsidRPr="001E544C">
        <w:rPr>
          <w:rFonts w:ascii="Calibri" w:hAnsi="Calibri" w:cs="Calibri"/>
          <w:sz w:val="20"/>
          <w:szCs w:val="20"/>
          <w:lang w:val="en-AU"/>
        </w:rPr>
        <w:t>modulate</w:t>
      </w:r>
      <w:r w:rsidR="001E544C">
        <w:rPr>
          <w:rFonts w:ascii="Calibri" w:hAnsi="Calibri" w:cs="Calibri"/>
          <w:sz w:val="20"/>
          <w:szCs w:val="20"/>
          <w:lang w:val="en-AU"/>
        </w:rPr>
        <w:t xml:space="preserve"> the</w:t>
      </w:r>
      <w:r w:rsidR="001E544C" w:rsidRPr="001E544C">
        <w:rPr>
          <w:rFonts w:ascii="Calibri" w:hAnsi="Calibri" w:cs="Calibri"/>
          <w:sz w:val="20"/>
          <w:szCs w:val="20"/>
          <w:lang w:val="en-AU"/>
        </w:rPr>
        <w:t xml:space="preserve"> metabolite signalling</w:t>
      </w:r>
      <w:r w:rsidR="001E544C">
        <w:rPr>
          <w:rFonts w:ascii="Calibri" w:hAnsi="Calibri" w:cs="Calibri"/>
          <w:sz w:val="20"/>
          <w:szCs w:val="20"/>
          <w:lang w:val="en-AU"/>
        </w:rPr>
        <w:t xml:space="preserve"> of endogenous peptides</w:t>
      </w:r>
      <w:r w:rsidR="00A943E3">
        <w:rPr>
          <w:rFonts w:ascii="Calibri" w:hAnsi="Calibri" w:cs="Calibri"/>
          <w:sz w:val="20"/>
          <w:szCs w:val="20"/>
          <w:lang w:val="en-AU"/>
        </w:rPr>
        <w:t xml:space="preserve"> (Figure 1)</w:t>
      </w:r>
      <w:r w:rsidR="001E544C" w:rsidRPr="001E544C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1A8934F5" w14:textId="167C9590" w:rsidR="001E544C" w:rsidRDefault="001E544C" w:rsidP="001E544C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1E544C">
        <w:rPr>
          <w:rFonts w:ascii="Calibri" w:hAnsi="Calibri" w:cs="Calibri"/>
          <w:sz w:val="20"/>
          <w:szCs w:val="20"/>
          <w:lang w:val="en-AU"/>
        </w:rPr>
        <w:t xml:space="preserve">Structural differences can be correlated to functional data revealing molecular insights into </w:t>
      </w:r>
      <w:r>
        <w:rPr>
          <w:rFonts w:ascii="Calibri" w:hAnsi="Calibri" w:cs="Calibri"/>
          <w:sz w:val="20"/>
          <w:szCs w:val="20"/>
          <w:lang w:val="en-AU"/>
        </w:rPr>
        <w:t xml:space="preserve">activation and </w:t>
      </w:r>
      <w:r w:rsidRPr="001E544C">
        <w:rPr>
          <w:rFonts w:ascii="Calibri" w:hAnsi="Calibri" w:cs="Calibri"/>
          <w:sz w:val="20"/>
          <w:szCs w:val="20"/>
          <w:lang w:val="en-AU"/>
        </w:rPr>
        <w:t>modulation of</w:t>
      </w:r>
      <w:r>
        <w:rPr>
          <w:rFonts w:ascii="Calibri" w:hAnsi="Calibri" w:cs="Calibri"/>
          <w:sz w:val="20"/>
          <w:szCs w:val="20"/>
          <w:lang w:val="en-AU"/>
        </w:rPr>
        <w:t xml:space="preserve"> small-molecule ligands</w:t>
      </w:r>
      <w:r w:rsidRPr="001E544C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3C28E1">
        <w:rPr>
          <w:rFonts w:ascii="Calibri" w:hAnsi="Calibri" w:cs="Calibri"/>
          <w:sz w:val="20"/>
          <w:szCs w:val="20"/>
          <w:lang w:val="en-AU"/>
        </w:rPr>
        <w:t>These findings will facilitate rational structure-based discovery of non-peptidic drugs targeting the GLP-1R and other related class B1 G protein-coupled receptors.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464240E5" w14:textId="6198CA1C" w:rsidR="00EF12F3" w:rsidRDefault="0053136D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A3BD6">
        <w:rPr>
          <w:rFonts w:ascii="Calibri" w:hAnsi="Calibri" w:cs="Calibri"/>
          <w:sz w:val="20"/>
          <w:szCs w:val="20"/>
          <w:lang w:val="en-AU"/>
        </w:rPr>
        <w:t>Deganutti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AA3BD6">
        <w:rPr>
          <w:rFonts w:ascii="Calibri" w:hAnsi="Calibri" w:cs="Calibri"/>
          <w:sz w:val="20"/>
          <w:szCs w:val="20"/>
          <w:lang w:val="en-AU"/>
        </w:rPr>
        <w:t>G*, Liang YL*, Zhang</w:t>
      </w:r>
      <w:r>
        <w:rPr>
          <w:rFonts w:ascii="Calibri" w:hAnsi="Calibri" w:cs="Calibri"/>
          <w:sz w:val="20"/>
          <w:szCs w:val="20"/>
          <w:lang w:val="en-AU"/>
        </w:rPr>
        <w:t xml:space="preserve"> X</w:t>
      </w:r>
      <w:r w:rsidRPr="00AA3BD6">
        <w:rPr>
          <w:rFonts w:ascii="Calibri" w:hAnsi="Calibri" w:cs="Calibri"/>
          <w:sz w:val="20"/>
          <w:szCs w:val="20"/>
          <w:lang w:val="en-AU"/>
        </w:rPr>
        <w:t xml:space="preserve">* </w:t>
      </w:r>
      <w:r>
        <w:rPr>
          <w:rFonts w:ascii="Calibri" w:hAnsi="Calibri" w:cs="Calibri"/>
          <w:sz w:val="20"/>
          <w:szCs w:val="20"/>
          <w:lang w:val="en-AU"/>
        </w:rPr>
        <w:t>et al (</w:t>
      </w:r>
      <w:r w:rsidRPr="00AA3BD6">
        <w:rPr>
          <w:rFonts w:ascii="Calibri" w:hAnsi="Calibri" w:cs="Calibri"/>
          <w:sz w:val="20"/>
          <w:szCs w:val="20"/>
          <w:lang w:val="en-AU"/>
        </w:rPr>
        <w:t>2022</w:t>
      </w:r>
      <w:r>
        <w:rPr>
          <w:rFonts w:ascii="Calibri" w:hAnsi="Calibri" w:cs="Calibri"/>
          <w:sz w:val="20"/>
          <w:szCs w:val="20"/>
          <w:lang w:val="en-AU"/>
        </w:rPr>
        <w:t xml:space="preserve">) </w:t>
      </w:r>
      <w:r w:rsidRPr="00AA3BD6">
        <w:rPr>
          <w:rFonts w:ascii="Calibri" w:hAnsi="Calibri" w:cs="Calibri"/>
          <w:sz w:val="20"/>
          <w:szCs w:val="20"/>
          <w:lang w:val="en-AU"/>
        </w:rPr>
        <w:t>Nat Commun 13</w:t>
      </w:r>
      <w:r>
        <w:rPr>
          <w:rFonts w:ascii="Calibri" w:hAnsi="Calibri" w:cs="Calibri"/>
          <w:sz w:val="20"/>
          <w:szCs w:val="20"/>
          <w:lang w:val="en-AU"/>
        </w:rPr>
        <w:t>:</w:t>
      </w:r>
      <w:r w:rsidRPr="00AA3BD6">
        <w:rPr>
          <w:rFonts w:ascii="Calibri" w:hAnsi="Calibri" w:cs="Calibri"/>
          <w:sz w:val="20"/>
          <w:szCs w:val="20"/>
          <w:lang w:val="en-AU"/>
        </w:rPr>
        <w:t>92</w:t>
      </w:r>
      <w:r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1E544C" w:rsidRPr="003C28E1">
        <w:rPr>
          <w:rFonts w:ascii="Calibri" w:hAnsi="Calibri" w:cs="Calibri"/>
          <w:sz w:val="20"/>
          <w:szCs w:val="20"/>
          <w:lang w:val="en-AU"/>
        </w:rPr>
        <w:t>Zhang X</w:t>
      </w:r>
      <w:r w:rsidR="001E544C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 xml:space="preserve">et al </w:t>
      </w:r>
      <w:r w:rsidR="001E544C">
        <w:rPr>
          <w:rFonts w:ascii="Calibri" w:hAnsi="Calibri" w:cs="Calibri"/>
          <w:sz w:val="20"/>
          <w:szCs w:val="20"/>
          <w:lang w:val="en-AU"/>
        </w:rPr>
        <w:t xml:space="preserve">(2020) </w:t>
      </w:r>
      <w:r w:rsidR="001E544C" w:rsidRPr="003C28E1">
        <w:rPr>
          <w:rFonts w:ascii="Calibri" w:hAnsi="Calibri" w:cs="Calibri"/>
          <w:sz w:val="20"/>
          <w:szCs w:val="20"/>
          <w:lang w:val="en-AU"/>
        </w:rPr>
        <w:t>Mol Cell</w:t>
      </w:r>
      <w:r w:rsidR="001E544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E544C" w:rsidRPr="003C28E1">
        <w:rPr>
          <w:rFonts w:ascii="Calibri" w:hAnsi="Calibri" w:cs="Calibri"/>
          <w:sz w:val="20"/>
          <w:szCs w:val="20"/>
          <w:lang w:val="en-AU"/>
        </w:rPr>
        <w:t>80</w:t>
      </w:r>
      <w:r w:rsidR="001E544C">
        <w:rPr>
          <w:rFonts w:ascii="Calibri" w:hAnsi="Calibri" w:cs="Calibri"/>
          <w:sz w:val="20"/>
          <w:szCs w:val="20"/>
          <w:lang w:val="en-AU"/>
        </w:rPr>
        <w:t>:</w:t>
      </w:r>
      <w:r w:rsidR="001E544C" w:rsidRPr="003C28E1">
        <w:rPr>
          <w:rFonts w:ascii="Calibri" w:hAnsi="Calibri" w:cs="Calibri"/>
          <w:sz w:val="20"/>
          <w:szCs w:val="20"/>
          <w:lang w:val="en-AU"/>
        </w:rPr>
        <w:t>1–16</w:t>
      </w:r>
      <w:r w:rsidR="001E544C">
        <w:rPr>
          <w:rFonts w:ascii="Calibri" w:hAnsi="Calibri" w:cs="Calibri"/>
          <w:sz w:val="20"/>
          <w:szCs w:val="20"/>
          <w:lang w:val="en-AU"/>
        </w:rPr>
        <w:t xml:space="preserve"> </w:t>
      </w:r>
    </w:p>
    <w:sectPr w:rsidR="00EF12F3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A4FA6"/>
    <w:rsid w:val="00122C80"/>
    <w:rsid w:val="001423F4"/>
    <w:rsid w:val="001E544C"/>
    <w:rsid w:val="002226BB"/>
    <w:rsid w:val="002272B0"/>
    <w:rsid w:val="00265EE2"/>
    <w:rsid w:val="002C09DD"/>
    <w:rsid w:val="00300B92"/>
    <w:rsid w:val="003857F2"/>
    <w:rsid w:val="00387491"/>
    <w:rsid w:val="003A3F8F"/>
    <w:rsid w:val="003C28E1"/>
    <w:rsid w:val="00444224"/>
    <w:rsid w:val="00483B05"/>
    <w:rsid w:val="004E28B9"/>
    <w:rsid w:val="004E50FC"/>
    <w:rsid w:val="004E5450"/>
    <w:rsid w:val="00511A3C"/>
    <w:rsid w:val="0053136D"/>
    <w:rsid w:val="0059609A"/>
    <w:rsid w:val="00597659"/>
    <w:rsid w:val="005B47BF"/>
    <w:rsid w:val="005D1700"/>
    <w:rsid w:val="005E48A2"/>
    <w:rsid w:val="005E62BE"/>
    <w:rsid w:val="006A6E66"/>
    <w:rsid w:val="00711813"/>
    <w:rsid w:val="00724E3C"/>
    <w:rsid w:val="00743C46"/>
    <w:rsid w:val="00760B17"/>
    <w:rsid w:val="00885303"/>
    <w:rsid w:val="008909C9"/>
    <w:rsid w:val="008F20D6"/>
    <w:rsid w:val="00947B77"/>
    <w:rsid w:val="009E2228"/>
    <w:rsid w:val="009F06D6"/>
    <w:rsid w:val="00A266B4"/>
    <w:rsid w:val="00A71DEF"/>
    <w:rsid w:val="00A943E3"/>
    <w:rsid w:val="00AA3BD6"/>
    <w:rsid w:val="00AE2DA6"/>
    <w:rsid w:val="00BC5FCC"/>
    <w:rsid w:val="00C132EC"/>
    <w:rsid w:val="00C60A71"/>
    <w:rsid w:val="00D55F3B"/>
    <w:rsid w:val="00DA2731"/>
    <w:rsid w:val="00E01450"/>
    <w:rsid w:val="00E77FC3"/>
    <w:rsid w:val="00EF12F3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5AC7D"/>
  <w15:chartTrackingRefBased/>
  <w15:docId w15:val="{3E257CEA-DD2B-7240-96FD-48DC79BA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2280</CharactersWithSpaces>
  <SharedDoc>false</SharedDoc>
  <HLinks>
    <vt:vector size="6" baseType="variant"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mailto:ascept-apfp-apsa@expertevents.com.au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Barbara Lawless</cp:lastModifiedBy>
  <cp:revision>2</cp:revision>
  <cp:lastPrinted>2013-06-13T05:15:00Z</cp:lastPrinted>
  <dcterms:created xsi:type="dcterms:W3CDTF">2024-07-11T21:00:00Z</dcterms:created>
  <dcterms:modified xsi:type="dcterms:W3CDTF">2024-07-11T21:00:00Z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