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B88D"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Metabolomics-Based Strategy for Early Detection and Therapeutic Monitoring</w:t>
      </w:r>
      <w:r>
        <w:rPr>
          <w:rFonts w:asciiTheme="majorHAnsi" w:hAnsiTheme="majorHAnsi" w:cstheme="majorHAnsi"/>
          <w:b/>
          <w:bCs/>
          <w:sz w:val="20"/>
          <w:szCs w:val="20"/>
        </w:rPr>
        <w:t xml:space="preserve"> in Prostate Cancer Patients</w:t>
      </w:r>
    </w:p>
    <w:p w14:paraId="023FCDD2"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sz w:val="20"/>
          <w:szCs w:val="20"/>
        </w:rPr>
        <w:t>Vaishali Prajapati</w:t>
      </w:r>
      <w:r w:rsidRPr="00A45F2C">
        <w:rPr>
          <w:rFonts w:asciiTheme="majorHAnsi" w:hAnsiTheme="majorHAnsi" w:cstheme="majorHAnsi"/>
          <w:sz w:val="20"/>
          <w:szCs w:val="20"/>
          <w:vertAlign w:val="superscript"/>
        </w:rPr>
        <w:t>1</w:t>
      </w:r>
      <w:r w:rsidRPr="00A45F2C">
        <w:rPr>
          <w:rFonts w:asciiTheme="majorHAnsi" w:hAnsiTheme="majorHAnsi" w:cstheme="majorHAnsi"/>
          <w:sz w:val="20"/>
          <w:szCs w:val="20"/>
        </w:rPr>
        <w:t>, Vipin Kumar Verma</w:t>
      </w:r>
      <w:r w:rsidRPr="00A45F2C">
        <w:rPr>
          <w:rFonts w:asciiTheme="majorHAnsi" w:hAnsiTheme="majorHAnsi" w:cstheme="majorHAnsi"/>
          <w:sz w:val="20"/>
          <w:szCs w:val="20"/>
          <w:vertAlign w:val="superscript"/>
        </w:rPr>
        <w:t>1</w:t>
      </w:r>
      <w:r w:rsidRPr="00A45F2C">
        <w:rPr>
          <w:rFonts w:asciiTheme="majorHAnsi" w:hAnsiTheme="majorHAnsi" w:cstheme="majorHAnsi"/>
          <w:sz w:val="20"/>
          <w:szCs w:val="20"/>
        </w:rPr>
        <w:t>, Priya Bhardwaj</w:t>
      </w:r>
      <w:r w:rsidRPr="00A45F2C">
        <w:rPr>
          <w:rFonts w:asciiTheme="majorHAnsi" w:hAnsiTheme="majorHAnsi" w:cstheme="majorHAnsi"/>
          <w:sz w:val="20"/>
          <w:szCs w:val="20"/>
          <w:vertAlign w:val="superscript"/>
        </w:rPr>
        <w:t>1</w:t>
      </w:r>
      <w:r w:rsidRPr="00A45F2C">
        <w:rPr>
          <w:rFonts w:asciiTheme="majorHAnsi" w:hAnsiTheme="majorHAnsi" w:cstheme="majorHAnsi"/>
          <w:sz w:val="20"/>
          <w:szCs w:val="20"/>
        </w:rPr>
        <w:t>, Sanjay Kumar</w:t>
      </w:r>
      <w:r w:rsidRPr="00A45F2C">
        <w:rPr>
          <w:rFonts w:asciiTheme="majorHAnsi" w:hAnsiTheme="majorHAnsi" w:cstheme="majorHAnsi"/>
          <w:sz w:val="20"/>
          <w:szCs w:val="20"/>
          <w:vertAlign w:val="superscript"/>
        </w:rPr>
        <w:t>2</w:t>
      </w:r>
      <w:r w:rsidRPr="00A45F2C">
        <w:rPr>
          <w:rFonts w:asciiTheme="majorHAnsi" w:hAnsiTheme="majorHAnsi" w:cstheme="majorHAnsi"/>
          <w:sz w:val="20"/>
          <w:szCs w:val="20"/>
        </w:rPr>
        <w:t>, Ranjit Kumar Sahoo</w:t>
      </w:r>
      <w:r w:rsidRPr="00A45F2C">
        <w:rPr>
          <w:rFonts w:asciiTheme="majorHAnsi" w:hAnsiTheme="majorHAnsi" w:cstheme="majorHAnsi"/>
          <w:sz w:val="20"/>
          <w:szCs w:val="20"/>
          <w:vertAlign w:val="superscript"/>
        </w:rPr>
        <w:t>3</w:t>
      </w:r>
      <w:r w:rsidRPr="00A45F2C">
        <w:rPr>
          <w:rFonts w:asciiTheme="majorHAnsi" w:hAnsiTheme="majorHAnsi" w:cstheme="majorHAnsi"/>
          <w:sz w:val="20"/>
          <w:szCs w:val="20"/>
        </w:rPr>
        <w:t>, Jagriti Bhatia</w:t>
      </w:r>
      <w:r w:rsidRPr="00A45F2C">
        <w:rPr>
          <w:rFonts w:asciiTheme="majorHAnsi" w:hAnsiTheme="majorHAnsi" w:cstheme="majorHAnsi"/>
          <w:sz w:val="20"/>
          <w:szCs w:val="20"/>
          <w:vertAlign w:val="superscript"/>
        </w:rPr>
        <w:t>1</w:t>
      </w:r>
      <w:r w:rsidRPr="00A45F2C">
        <w:rPr>
          <w:rFonts w:asciiTheme="majorHAnsi" w:hAnsiTheme="majorHAnsi" w:cstheme="majorHAnsi"/>
          <w:sz w:val="20"/>
          <w:szCs w:val="20"/>
        </w:rPr>
        <w:t>, Amlesh Seth</w:t>
      </w:r>
      <w:r w:rsidRPr="00A45F2C">
        <w:rPr>
          <w:rFonts w:asciiTheme="majorHAnsi" w:hAnsiTheme="majorHAnsi" w:cstheme="majorHAnsi"/>
          <w:sz w:val="20"/>
          <w:szCs w:val="20"/>
          <w:vertAlign w:val="superscript"/>
        </w:rPr>
        <w:t>2</w:t>
      </w:r>
      <w:r w:rsidRPr="00A45F2C">
        <w:rPr>
          <w:rFonts w:asciiTheme="majorHAnsi" w:hAnsiTheme="majorHAnsi" w:cstheme="majorHAnsi"/>
          <w:sz w:val="20"/>
          <w:szCs w:val="20"/>
        </w:rPr>
        <w:t>, Dharamvir Singh Arya</w:t>
      </w:r>
      <w:r w:rsidRPr="00A45F2C">
        <w:rPr>
          <w:rFonts w:asciiTheme="majorHAnsi" w:hAnsiTheme="majorHAnsi" w:cstheme="majorHAnsi"/>
          <w:sz w:val="20"/>
          <w:szCs w:val="20"/>
          <w:vertAlign w:val="superscript"/>
        </w:rPr>
        <w:t>1</w:t>
      </w:r>
    </w:p>
    <w:p w14:paraId="64C7A789" w14:textId="4965AD59" w:rsidR="002B7477" w:rsidRPr="00A45F2C" w:rsidRDefault="009105F1" w:rsidP="002B7477">
      <w:pPr>
        <w:jc w:val="both"/>
        <w:rPr>
          <w:rFonts w:asciiTheme="majorHAnsi" w:hAnsiTheme="majorHAnsi" w:cstheme="majorHAnsi"/>
          <w:sz w:val="20"/>
          <w:szCs w:val="20"/>
        </w:rPr>
      </w:pPr>
      <w:r w:rsidRPr="009105F1">
        <w:rPr>
          <w:rFonts w:asciiTheme="majorHAnsi" w:hAnsiTheme="majorHAnsi" w:cstheme="majorHAnsi"/>
          <w:sz w:val="20"/>
          <w:szCs w:val="20"/>
          <w:vertAlign w:val="superscript"/>
        </w:rPr>
        <w:t>1</w:t>
      </w:r>
      <w:r w:rsidR="002B7477" w:rsidRPr="00A45F2C">
        <w:rPr>
          <w:rFonts w:asciiTheme="majorHAnsi" w:hAnsiTheme="majorHAnsi" w:cstheme="majorHAnsi"/>
          <w:sz w:val="20"/>
          <w:szCs w:val="20"/>
        </w:rPr>
        <w:t xml:space="preserve">Department of Pharmacology, </w:t>
      </w:r>
      <w:r w:rsidR="006B3A34" w:rsidRPr="006B3A34">
        <w:rPr>
          <w:rFonts w:asciiTheme="majorHAnsi" w:hAnsiTheme="majorHAnsi" w:cstheme="majorHAnsi"/>
          <w:sz w:val="20"/>
          <w:szCs w:val="20"/>
          <w:vertAlign w:val="superscript"/>
        </w:rPr>
        <w:t>2</w:t>
      </w:r>
      <w:r w:rsidRPr="00A45F2C">
        <w:rPr>
          <w:rFonts w:asciiTheme="majorHAnsi" w:hAnsiTheme="majorHAnsi" w:cstheme="majorHAnsi"/>
          <w:sz w:val="20"/>
          <w:szCs w:val="20"/>
        </w:rPr>
        <w:t xml:space="preserve">Department of Urology, </w:t>
      </w:r>
      <w:r>
        <w:rPr>
          <w:rFonts w:asciiTheme="majorHAnsi" w:hAnsiTheme="majorHAnsi" w:cstheme="majorHAnsi"/>
          <w:sz w:val="20"/>
          <w:szCs w:val="20"/>
        </w:rPr>
        <w:t xml:space="preserve">and </w:t>
      </w:r>
      <w:r w:rsidR="006B3A34" w:rsidRPr="006B3A34">
        <w:rPr>
          <w:rFonts w:asciiTheme="majorHAnsi" w:hAnsiTheme="majorHAnsi" w:cstheme="majorHAnsi"/>
          <w:sz w:val="20"/>
          <w:szCs w:val="20"/>
          <w:vertAlign w:val="superscript"/>
        </w:rPr>
        <w:t>3</w:t>
      </w:r>
      <w:r w:rsidRPr="00A45F2C">
        <w:rPr>
          <w:rFonts w:asciiTheme="majorHAnsi" w:hAnsiTheme="majorHAnsi" w:cstheme="majorHAnsi"/>
          <w:sz w:val="20"/>
          <w:szCs w:val="20"/>
        </w:rPr>
        <w:t xml:space="preserve">Department of Medical Oncology, </w:t>
      </w:r>
      <w:r w:rsidR="002B7477" w:rsidRPr="00A45F2C">
        <w:rPr>
          <w:rFonts w:asciiTheme="majorHAnsi" w:hAnsiTheme="majorHAnsi" w:cstheme="majorHAnsi"/>
          <w:sz w:val="20"/>
          <w:szCs w:val="20"/>
        </w:rPr>
        <w:t>All India Institute of Medical Sciences, New Delhi, India</w:t>
      </w:r>
    </w:p>
    <w:p w14:paraId="41D2A33A" w14:textId="77777777" w:rsidR="002B7477" w:rsidRPr="00A45F2C" w:rsidRDefault="002B7477" w:rsidP="002B7477">
      <w:pPr>
        <w:jc w:val="both"/>
        <w:rPr>
          <w:rFonts w:asciiTheme="majorHAnsi" w:hAnsiTheme="majorHAnsi" w:cstheme="majorHAnsi"/>
          <w:sz w:val="20"/>
          <w:szCs w:val="20"/>
        </w:rPr>
      </w:pPr>
    </w:p>
    <w:p w14:paraId="48CCCBCD" w14:textId="77777777" w:rsidR="002B7477"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Introduction</w:t>
      </w:r>
      <w:r w:rsidRPr="00A45F2C">
        <w:rPr>
          <w:rFonts w:asciiTheme="majorHAnsi" w:hAnsiTheme="majorHAnsi" w:cstheme="majorHAnsi"/>
          <w:sz w:val="20"/>
          <w:szCs w:val="20"/>
        </w:rPr>
        <w:br/>
        <w:t>Prostate cancer (</w:t>
      </w:r>
      <w:proofErr w:type="spellStart"/>
      <w:r w:rsidRPr="00A45F2C">
        <w:rPr>
          <w:rFonts w:asciiTheme="majorHAnsi" w:hAnsiTheme="majorHAnsi" w:cstheme="majorHAnsi"/>
          <w:sz w:val="20"/>
          <w:szCs w:val="20"/>
        </w:rPr>
        <w:t>PCa</w:t>
      </w:r>
      <w:proofErr w:type="spellEnd"/>
      <w:r w:rsidRPr="00A45F2C">
        <w:rPr>
          <w:rFonts w:asciiTheme="majorHAnsi" w:hAnsiTheme="majorHAnsi" w:cstheme="majorHAnsi"/>
          <w:sz w:val="20"/>
          <w:szCs w:val="20"/>
        </w:rPr>
        <w:t xml:space="preserve">) remains the second most prevalent malignancy and a leading cause of cancer-related mortality in men globally. While Androgen Deprivation Therapy (ADT) is a cornerstone in </w:t>
      </w:r>
      <w:proofErr w:type="spellStart"/>
      <w:r w:rsidRPr="00A45F2C">
        <w:rPr>
          <w:rFonts w:asciiTheme="majorHAnsi" w:hAnsiTheme="majorHAnsi" w:cstheme="majorHAnsi"/>
          <w:sz w:val="20"/>
          <w:szCs w:val="20"/>
        </w:rPr>
        <w:t>PCa</w:t>
      </w:r>
      <w:proofErr w:type="spellEnd"/>
      <w:r w:rsidRPr="00A45F2C">
        <w:rPr>
          <w:rFonts w:asciiTheme="majorHAnsi" w:hAnsiTheme="majorHAnsi" w:cstheme="majorHAnsi"/>
          <w:sz w:val="20"/>
          <w:szCs w:val="20"/>
        </w:rPr>
        <w:t xml:space="preserve"> management, resistance invariably emerges, progressing to metastatic castration-resistant prostate cancer (</w:t>
      </w:r>
      <w:proofErr w:type="spellStart"/>
      <w:r w:rsidRPr="00A45F2C">
        <w:rPr>
          <w:rFonts w:asciiTheme="majorHAnsi" w:hAnsiTheme="majorHAnsi" w:cstheme="majorHAnsi"/>
          <w:sz w:val="20"/>
          <w:szCs w:val="20"/>
        </w:rPr>
        <w:t>mCRPC</w:t>
      </w:r>
      <w:proofErr w:type="spellEnd"/>
      <w:r w:rsidRPr="00A45F2C">
        <w:rPr>
          <w:rFonts w:asciiTheme="majorHAnsi" w:hAnsiTheme="majorHAnsi" w:cstheme="majorHAnsi"/>
          <w:sz w:val="20"/>
          <w:szCs w:val="20"/>
        </w:rPr>
        <w:t xml:space="preserve">)—a lethal, therapy-resistant phenotype. Metabolomics, the systems-level study of small-molecule metabolites, offers a powerful lens to uncover disease-specific metabolic reprogramming, enabling biomarker discovery and guiding therapeutic interventions. </w:t>
      </w:r>
    </w:p>
    <w:p w14:paraId="73B3483E" w14:textId="77777777" w:rsidR="002B7477"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Aims</w:t>
      </w:r>
    </w:p>
    <w:p w14:paraId="3FE76B62" w14:textId="77777777" w:rsidR="002B7477" w:rsidRPr="009764C4" w:rsidRDefault="002B7477" w:rsidP="002B7477">
      <w:pPr>
        <w:jc w:val="both"/>
        <w:rPr>
          <w:rFonts w:asciiTheme="majorHAnsi" w:hAnsiTheme="majorHAnsi" w:cstheme="majorHAnsi"/>
          <w:sz w:val="20"/>
          <w:szCs w:val="20"/>
        </w:rPr>
      </w:pPr>
      <w:r w:rsidRPr="00A45F2C">
        <w:rPr>
          <w:rFonts w:asciiTheme="majorHAnsi" w:hAnsiTheme="majorHAnsi" w:cstheme="majorHAnsi"/>
          <w:sz w:val="20"/>
          <w:szCs w:val="20"/>
        </w:rPr>
        <w:t>This study aimed to decipher distinct plasma metabolomic signatures differentiating benign prostatic hyperplasia (BPH), castration-sensitive prostate cancer (CSPC), and castration-resistant prostate cancer (CRPC). A key goal was to identify dynamic metabolic shifts correlating with disease progression and response to androgen-targeted therapies.</w:t>
      </w:r>
    </w:p>
    <w:p w14:paraId="2C0F67FE"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Methods</w:t>
      </w:r>
      <w:r w:rsidRPr="00A45F2C">
        <w:rPr>
          <w:rFonts w:asciiTheme="majorHAnsi" w:hAnsiTheme="majorHAnsi" w:cstheme="majorHAnsi"/>
          <w:sz w:val="20"/>
          <w:szCs w:val="20"/>
        </w:rPr>
        <w:br/>
        <w:t xml:space="preserve">With institutional ethical clearance, a cross-sectional cohort of 60 age-matched male patients was enrolled: BPH (n=20), CSPC (n=20), and CRPC (n=20). Peripheral blood (5 ml) was collected, and plasma was isolated for untargeted metabolomic profiling using high-resolution LC-MS/MS. Data were normalized and </w:t>
      </w:r>
      <w:proofErr w:type="spellStart"/>
      <w:r w:rsidRPr="00A45F2C">
        <w:rPr>
          <w:rFonts w:asciiTheme="majorHAnsi" w:hAnsiTheme="majorHAnsi" w:cstheme="majorHAnsi"/>
          <w:sz w:val="20"/>
          <w:szCs w:val="20"/>
        </w:rPr>
        <w:t>analyzed</w:t>
      </w:r>
      <w:proofErr w:type="spellEnd"/>
      <w:r w:rsidRPr="00A45F2C">
        <w:rPr>
          <w:rFonts w:asciiTheme="majorHAnsi" w:hAnsiTheme="majorHAnsi" w:cstheme="majorHAnsi"/>
          <w:sz w:val="20"/>
          <w:szCs w:val="20"/>
        </w:rPr>
        <w:t xml:space="preserve"> via </w:t>
      </w:r>
      <w:proofErr w:type="spellStart"/>
      <w:r w:rsidRPr="00A45F2C">
        <w:rPr>
          <w:rFonts w:asciiTheme="majorHAnsi" w:hAnsiTheme="majorHAnsi" w:cstheme="majorHAnsi"/>
          <w:sz w:val="20"/>
          <w:szCs w:val="20"/>
        </w:rPr>
        <w:t>MetaboAnalyst</w:t>
      </w:r>
      <w:proofErr w:type="spellEnd"/>
      <w:r w:rsidRPr="00A45F2C">
        <w:rPr>
          <w:rFonts w:asciiTheme="majorHAnsi" w:hAnsiTheme="majorHAnsi" w:cstheme="majorHAnsi"/>
          <w:sz w:val="20"/>
          <w:szCs w:val="20"/>
        </w:rPr>
        <w:t xml:space="preserve"> 6.0, applying multivariate and pathway enrichment analyses to extract statistically and biologically relevant features.</w:t>
      </w:r>
    </w:p>
    <w:p w14:paraId="6615497F"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Results:</w:t>
      </w:r>
      <w:r w:rsidRPr="00A45F2C">
        <w:rPr>
          <w:rFonts w:asciiTheme="majorHAnsi" w:hAnsiTheme="majorHAnsi" w:cstheme="majorHAnsi"/>
          <w:sz w:val="20"/>
          <w:szCs w:val="20"/>
        </w:rPr>
        <w:br/>
        <w:t>Out of 617 significantly altered metabolites, distinct clusters were observed across BPH, CSPC, and CRPC groups. BPH samples exhibited stable metabolic patterns with a mild pro-inflammatory signature. CSPC samples showed marked upregulation in pathways linked to glycolysis, nucleotide synthesis, and immune escape—hallmarks of tumour growth. Notably, CRPC samples revealed profound metabolic rewiring involving lipid metabolism, amino acid catabolism, and steroid biosynthesis, reflecting adaptation to ADT and aggressive progression. Several metabolites, including kynurenine, sarcosine, and sphingolipids, emerged as potential discriminators of treatment response and disease state.</w:t>
      </w:r>
    </w:p>
    <w:p w14:paraId="59B17F40"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Conclusion:</w:t>
      </w:r>
      <w:r w:rsidRPr="00A45F2C">
        <w:rPr>
          <w:rFonts w:asciiTheme="majorHAnsi" w:hAnsiTheme="majorHAnsi" w:cstheme="majorHAnsi"/>
          <w:sz w:val="20"/>
          <w:szCs w:val="20"/>
        </w:rPr>
        <w:br/>
        <w:t>This study delineates a progressive metabolic reprogramming trajectory from benign to castration-resistant prostate cancer. The findings underscore metabolomics as a valuable tool for non-invasive biomarker discovery, therapeutic monitoring, and personalized pharmacological targeting in prostate cancer. The identified signatures offer promise for stratifying patients and optimizing treatment algorithms, aligning with advancing precision pharmacology.</w:t>
      </w:r>
    </w:p>
    <w:p w14:paraId="096BAC98" w14:textId="77777777" w:rsidR="002B7477" w:rsidRPr="00A45F2C" w:rsidRDefault="002B7477" w:rsidP="002B7477">
      <w:pPr>
        <w:jc w:val="both"/>
        <w:rPr>
          <w:rFonts w:asciiTheme="majorHAnsi" w:hAnsiTheme="majorHAnsi" w:cstheme="majorHAnsi"/>
          <w:sz w:val="20"/>
          <w:szCs w:val="20"/>
        </w:rPr>
      </w:pPr>
      <w:r w:rsidRPr="00A45F2C">
        <w:rPr>
          <w:rFonts w:asciiTheme="majorHAnsi" w:hAnsiTheme="majorHAnsi" w:cstheme="majorHAnsi"/>
          <w:b/>
          <w:bCs/>
          <w:sz w:val="20"/>
          <w:szCs w:val="20"/>
        </w:rPr>
        <w:t>Keywords:</w:t>
      </w:r>
      <w:r w:rsidRPr="00A45F2C">
        <w:rPr>
          <w:rFonts w:asciiTheme="majorHAnsi" w:hAnsiTheme="majorHAnsi" w:cstheme="majorHAnsi"/>
          <w:sz w:val="20"/>
          <w:szCs w:val="20"/>
        </w:rPr>
        <w:t xml:space="preserve"> Prostate Cancer, Castration Resistance, Metabolomics, Biomarker Discovery, LC-MS/MS, Precision Medicine, Therapeutic Monitoring.</w:t>
      </w:r>
    </w:p>
    <w:p w14:paraId="263D13EF" w14:textId="77777777" w:rsidR="007A3F4C" w:rsidRDefault="007A3F4C"/>
    <w:sectPr w:rsidR="007A3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77"/>
    <w:rsid w:val="0025176A"/>
    <w:rsid w:val="002B7477"/>
    <w:rsid w:val="00327E77"/>
    <w:rsid w:val="00413B10"/>
    <w:rsid w:val="006B3A34"/>
    <w:rsid w:val="007A3F4C"/>
    <w:rsid w:val="009105F1"/>
    <w:rsid w:val="00F75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85747"/>
  <w15:chartTrackingRefBased/>
  <w15:docId w15:val="{87EF6526-E8D0-464C-AD6A-B2F6FE5A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77"/>
  </w:style>
  <w:style w:type="paragraph" w:styleId="Heading1">
    <w:name w:val="heading 1"/>
    <w:basedOn w:val="Normal"/>
    <w:next w:val="Normal"/>
    <w:link w:val="Heading1Char"/>
    <w:uiPriority w:val="9"/>
    <w:qFormat/>
    <w:rsid w:val="00327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E77"/>
    <w:rPr>
      <w:rFonts w:eastAsiaTheme="majorEastAsia" w:cstheme="majorBidi"/>
      <w:color w:val="272727" w:themeColor="text1" w:themeTint="D8"/>
    </w:rPr>
  </w:style>
  <w:style w:type="paragraph" w:styleId="Title">
    <w:name w:val="Title"/>
    <w:basedOn w:val="Normal"/>
    <w:next w:val="Normal"/>
    <w:link w:val="TitleChar"/>
    <w:uiPriority w:val="10"/>
    <w:qFormat/>
    <w:rsid w:val="0032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E77"/>
    <w:pPr>
      <w:spacing w:before="160"/>
      <w:jc w:val="center"/>
    </w:pPr>
    <w:rPr>
      <w:i/>
      <w:iCs/>
      <w:color w:val="404040" w:themeColor="text1" w:themeTint="BF"/>
    </w:rPr>
  </w:style>
  <w:style w:type="character" w:customStyle="1" w:styleId="QuoteChar">
    <w:name w:val="Quote Char"/>
    <w:basedOn w:val="DefaultParagraphFont"/>
    <w:link w:val="Quote"/>
    <w:uiPriority w:val="29"/>
    <w:rsid w:val="00327E77"/>
    <w:rPr>
      <w:i/>
      <w:iCs/>
      <w:color w:val="404040" w:themeColor="text1" w:themeTint="BF"/>
    </w:rPr>
  </w:style>
  <w:style w:type="paragraph" w:styleId="ListParagraph">
    <w:name w:val="List Paragraph"/>
    <w:basedOn w:val="Normal"/>
    <w:uiPriority w:val="34"/>
    <w:qFormat/>
    <w:rsid w:val="00327E77"/>
    <w:pPr>
      <w:ind w:left="720"/>
      <w:contextualSpacing/>
    </w:pPr>
  </w:style>
  <w:style w:type="character" w:styleId="IntenseEmphasis">
    <w:name w:val="Intense Emphasis"/>
    <w:basedOn w:val="DefaultParagraphFont"/>
    <w:uiPriority w:val="21"/>
    <w:qFormat/>
    <w:rsid w:val="00327E77"/>
    <w:rPr>
      <w:i/>
      <w:iCs/>
      <w:color w:val="2F5496" w:themeColor="accent1" w:themeShade="BF"/>
    </w:rPr>
  </w:style>
  <w:style w:type="paragraph" w:styleId="IntenseQuote">
    <w:name w:val="Intense Quote"/>
    <w:basedOn w:val="Normal"/>
    <w:next w:val="Normal"/>
    <w:link w:val="IntenseQuoteChar"/>
    <w:uiPriority w:val="30"/>
    <w:qFormat/>
    <w:rsid w:val="00327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E77"/>
    <w:rPr>
      <w:i/>
      <w:iCs/>
      <w:color w:val="2F5496" w:themeColor="accent1" w:themeShade="BF"/>
    </w:rPr>
  </w:style>
  <w:style w:type="character" w:styleId="IntenseReference">
    <w:name w:val="Intense Reference"/>
    <w:basedOn w:val="DefaultParagraphFont"/>
    <w:uiPriority w:val="32"/>
    <w:qFormat/>
    <w:rsid w:val="00327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2717</Characters>
  <Application>Microsoft Office Word</Application>
  <DocSecurity>0</DocSecurity>
  <Lines>50</Lines>
  <Paragraphs>17</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prajapati</dc:creator>
  <cp:keywords/>
  <dc:description/>
  <cp:lastModifiedBy>vaishali prajapati</cp:lastModifiedBy>
  <cp:revision>6</cp:revision>
  <dcterms:created xsi:type="dcterms:W3CDTF">2025-09-14T18:52:00Z</dcterms:created>
  <dcterms:modified xsi:type="dcterms:W3CDTF">2025-09-14T18:53:00Z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cc400b7c-c822-492b-82d3-95fdd69f2918</vt:lpwstr>
  </property>
</Properties>
</file>