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CCA93" w14:textId="5BA72198" w:rsidR="00711813" w:rsidRPr="00DF1C8E" w:rsidRDefault="00074F88" w:rsidP="00F26BBE">
      <w:pPr>
        <w:jc w:val="center"/>
        <w:rPr>
          <w:rFonts w:ascii="Calibri" w:hAnsi="Calibri" w:cs="Calibri"/>
          <w:b/>
          <w:sz w:val="28"/>
          <w:szCs w:val="28"/>
          <w:lang w:val="en-AU"/>
        </w:rPr>
      </w:pPr>
      <w:bookmarkStart w:id="0" w:name="OLE_LINK1"/>
      <w:bookmarkStart w:id="1" w:name="OLE_LINK2"/>
      <w:bookmarkStart w:id="2" w:name="_GoBack"/>
      <w:r w:rsidRPr="00074F88">
        <w:rPr>
          <w:rFonts w:ascii="Calibri" w:hAnsi="Calibri" w:cs="Calibri"/>
          <w:b/>
          <w:sz w:val="28"/>
          <w:szCs w:val="28"/>
        </w:rPr>
        <w:t>Influence of ionic surfactant adsorption on the response of GaN/AlGaN/GaN pH sensors</w:t>
      </w:r>
    </w:p>
    <w:bookmarkEnd w:id="0"/>
    <w:bookmarkEnd w:id="1"/>
    <w:bookmarkEnd w:id="2"/>
    <w:p w14:paraId="57C45AC5" w14:textId="77777777" w:rsidR="00DF1C8E" w:rsidRDefault="00DF1C8E" w:rsidP="00711813">
      <w:pPr>
        <w:jc w:val="both"/>
        <w:rPr>
          <w:rFonts w:ascii="Calibri" w:hAnsi="Calibri" w:cs="Calibri"/>
          <w:sz w:val="20"/>
          <w:szCs w:val="20"/>
          <w:lang w:val="en-AU"/>
        </w:rPr>
      </w:pPr>
    </w:p>
    <w:p w14:paraId="6818BFE5" w14:textId="1B65EA23" w:rsidR="000A132B" w:rsidRPr="00FC3D4B" w:rsidRDefault="00AE02A3" w:rsidP="00FC3D4B">
      <w:pPr>
        <w:jc w:val="center"/>
        <w:rPr>
          <w:rFonts w:ascii="Calibri" w:hAnsi="Calibri" w:cs="Calibri"/>
          <w:i/>
          <w:vertAlign w:val="superscript"/>
        </w:rPr>
      </w:pPr>
      <w:proofErr w:type="spellStart"/>
      <w:r w:rsidRPr="000C1FC4">
        <w:rPr>
          <w:rFonts w:ascii="Calibri" w:hAnsi="Calibri" w:cs="Calibri"/>
          <w:i/>
          <w:u w:val="single"/>
        </w:rPr>
        <w:t>Jianan</w:t>
      </w:r>
      <w:proofErr w:type="spellEnd"/>
      <w:r w:rsidRPr="000C1FC4">
        <w:rPr>
          <w:rFonts w:ascii="Calibri" w:hAnsi="Calibri" w:cs="Calibri"/>
          <w:i/>
          <w:u w:val="single"/>
        </w:rPr>
        <w:t xml:space="preserve"> </w:t>
      </w:r>
      <w:proofErr w:type="spellStart"/>
      <w:r w:rsidRPr="000C1FC4">
        <w:rPr>
          <w:rFonts w:ascii="Calibri" w:hAnsi="Calibri" w:cs="Calibri"/>
          <w:i/>
          <w:u w:val="single"/>
        </w:rPr>
        <w:t>Wang</w:t>
      </w:r>
      <w:r w:rsidR="00106C2B" w:rsidRPr="000C1FC4">
        <w:rPr>
          <w:rFonts w:ascii="Calibri" w:hAnsi="Calibri" w:cs="Calibri"/>
          <w:i/>
          <w:vertAlign w:val="superscript"/>
        </w:rPr>
        <w:t>A</w:t>
      </w:r>
      <w:r w:rsidR="00106C2B">
        <w:rPr>
          <w:rFonts w:ascii="Calibri" w:hAnsi="Calibri" w:cs="Calibri"/>
          <w:i/>
          <w:vertAlign w:val="superscript"/>
        </w:rPr>
        <w:t>,B</w:t>
      </w:r>
      <w:r w:rsidR="00EE38E3">
        <w:rPr>
          <w:rFonts w:ascii="Calibri" w:hAnsi="Calibri" w:cs="Calibri"/>
          <w:i/>
          <w:vertAlign w:val="superscript"/>
        </w:rPr>
        <w:t>,D</w:t>
      </w:r>
      <w:proofErr w:type="spellEnd"/>
      <w:r w:rsidRPr="00AE02A3">
        <w:rPr>
          <w:rFonts w:ascii="Calibri" w:hAnsi="Calibri" w:cs="Calibri"/>
          <w:i/>
        </w:rPr>
        <w:t xml:space="preserve">, Xing </w:t>
      </w:r>
      <w:proofErr w:type="spellStart"/>
      <w:r w:rsidRPr="00AE02A3">
        <w:rPr>
          <w:rFonts w:ascii="Calibri" w:hAnsi="Calibri" w:cs="Calibri"/>
          <w:i/>
        </w:rPr>
        <w:t>Zhang</w:t>
      </w:r>
      <w:r w:rsidR="00106C2B">
        <w:rPr>
          <w:rFonts w:ascii="Calibri" w:hAnsi="Calibri" w:cs="Calibri"/>
          <w:i/>
          <w:vertAlign w:val="superscript"/>
        </w:rPr>
        <w:t>A</w:t>
      </w:r>
      <w:proofErr w:type="spellEnd"/>
      <w:r w:rsidRPr="00AE02A3">
        <w:rPr>
          <w:rFonts w:ascii="Calibri" w:hAnsi="Calibri" w:cs="Calibri"/>
          <w:i/>
        </w:rPr>
        <w:t xml:space="preserve">, Hua </w:t>
      </w:r>
      <w:proofErr w:type="spellStart"/>
      <w:r w:rsidRPr="00AE02A3">
        <w:rPr>
          <w:rFonts w:ascii="Calibri" w:hAnsi="Calibri" w:cs="Calibri"/>
          <w:i/>
        </w:rPr>
        <w:t>Li</w:t>
      </w:r>
      <w:r w:rsidR="00106C2B">
        <w:rPr>
          <w:rFonts w:ascii="Calibri" w:hAnsi="Calibri" w:cs="Calibri"/>
          <w:i/>
          <w:vertAlign w:val="superscript"/>
        </w:rPr>
        <w:t>B</w:t>
      </w:r>
      <w:proofErr w:type="spellEnd"/>
      <w:r w:rsidRPr="00AE02A3">
        <w:rPr>
          <w:rFonts w:ascii="Calibri" w:hAnsi="Calibri" w:cs="Calibri"/>
          <w:i/>
        </w:rPr>
        <w:t xml:space="preserve">, </w:t>
      </w:r>
      <w:proofErr w:type="spellStart"/>
      <w:r w:rsidRPr="00AE02A3">
        <w:rPr>
          <w:rFonts w:ascii="Calibri" w:hAnsi="Calibri" w:cs="Calibri"/>
          <w:i/>
        </w:rPr>
        <w:t>Haoran</w:t>
      </w:r>
      <w:proofErr w:type="spellEnd"/>
      <w:r w:rsidRPr="00AE02A3">
        <w:rPr>
          <w:rFonts w:ascii="Calibri" w:hAnsi="Calibri" w:cs="Calibri"/>
          <w:i/>
        </w:rPr>
        <w:t xml:space="preserve"> </w:t>
      </w:r>
      <w:proofErr w:type="spellStart"/>
      <w:r w:rsidRPr="00AE02A3">
        <w:rPr>
          <w:rFonts w:ascii="Calibri" w:hAnsi="Calibri" w:cs="Calibri"/>
          <w:i/>
        </w:rPr>
        <w:t>Li</w:t>
      </w:r>
      <w:r w:rsidR="00106C2B">
        <w:rPr>
          <w:rFonts w:ascii="Calibri" w:hAnsi="Calibri" w:cs="Calibri"/>
          <w:i/>
          <w:vertAlign w:val="superscript"/>
        </w:rPr>
        <w:t>C</w:t>
      </w:r>
      <w:proofErr w:type="spellEnd"/>
      <w:r w:rsidRPr="00AE02A3">
        <w:rPr>
          <w:rFonts w:ascii="Calibri" w:hAnsi="Calibri" w:cs="Calibri"/>
          <w:i/>
        </w:rPr>
        <w:t xml:space="preserve">, </w:t>
      </w:r>
      <w:proofErr w:type="spellStart"/>
      <w:r w:rsidRPr="00AE02A3">
        <w:rPr>
          <w:rFonts w:ascii="Calibri" w:hAnsi="Calibri" w:cs="Calibri"/>
          <w:i/>
        </w:rPr>
        <w:t>Stacia</w:t>
      </w:r>
      <w:proofErr w:type="spellEnd"/>
      <w:r w:rsidRPr="00AE02A3">
        <w:rPr>
          <w:rFonts w:ascii="Calibri" w:hAnsi="Calibri" w:cs="Calibri"/>
          <w:i/>
        </w:rPr>
        <w:t xml:space="preserve"> </w:t>
      </w:r>
      <w:proofErr w:type="spellStart"/>
      <w:r w:rsidRPr="00AE02A3">
        <w:rPr>
          <w:rFonts w:ascii="Calibri" w:hAnsi="Calibri" w:cs="Calibri"/>
          <w:i/>
        </w:rPr>
        <w:t>Keller</w:t>
      </w:r>
      <w:r w:rsidR="00106C2B">
        <w:rPr>
          <w:rFonts w:ascii="Calibri" w:hAnsi="Calibri" w:cs="Calibri"/>
          <w:i/>
          <w:vertAlign w:val="superscript"/>
        </w:rPr>
        <w:t>C</w:t>
      </w:r>
      <w:proofErr w:type="spellEnd"/>
      <w:r w:rsidRPr="00AE02A3">
        <w:rPr>
          <w:rFonts w:ascii="Calibri" w:hAnsi="Calibri" w:cs="Calibri"/>
          <w:i/>
        </w:rPr>
        <w:t xml:space="preserve">, </w:t>
      </w:r>
      <w:proofErr w:type="spellStart"/>
      <w:r w:rsidRPr="00AE02A3">
        <w:rPr>
          <w:rFonts w:ascii="Calibri" w:hAnsi="Calibri" w:cs="Calibri"/>
          <w:i/>
        </w:rPr>
        <w:t>Umesh</w:t>
      </w:r>
      <w:proofErr w:type="spellEnd"/>
      <w:r w:rsidRPr="00AE02A3">
        <w:rPr>
          <w:rFonts w:ascii="Calibri" w:hAnsi="Calibri" w:cs="Calibri"/>
          <w:i/>
        </w:rPr>
        <w:t xml:space="preserve"> </w:t>
      </w:r>
      <w:proofErr w:type="spellStart"/>
      <w:r w:rsidRPr="00AE02A3">
        <w:rPr>
          <w:rFonts w:ascii="Calibri" w:hAnsi="Calibri" w:cs="Calibri"/>
          <w:i/>
        </w:rPr>
        <w:t>Mishra</w:t>
      </w:r>
      <w:r w:rsidR="00106C2B">
        <w:rPr>
          <w:rFonts w:ascii="Calibri" w:hAnsi="Calibri" w:cs="Calibri"/>
          <w:i/>
          <w:vertAlign w:val="superscript"/>
        </w:rPr>
        <w:t>C</w:t>
      </w:r>
      <w:proofErr w:type="spellEnd"/>
      <w:r w:rsidRPr="00AE02A3">
        <w:rPr>
          <w:rFonts w:ascii="Calibri" w:hAnsi="Calibri" w:cs="Calibri"/>
          <w:i/>
        </w:rPr>
        <w:t xml:space="preserve">, Brett </w:t>
      </w:r>
      <w:proofErr w:type="spellStart"/>
      <w:r w:rsidRPr="00AE02A3">
        <w:rPr>
          <w:rFonts w:ascii="Calibri" w:hAnsi="Calibri" w:cs="Calibri"/>
          <w:i/>
        </w:rPr>
        <w:t>Nener</w:t>
      </w:r>
      <w:r w:rsidR="00106C2B">
        <w:rPr>
          <w:rFonts w:ascii="Calibri" w:hAnsi="Calibri" w:cs="Calibri"/>
          <w:i/>
          <w:vertAlign w:val="superscript"/>
        </w:rPr>
        <w:t>A</w:t>
      </w:r>
      <w:proofErr w:type="spellEnd"/>
      <w:r w:rsidRPr="00AE02A3">
        <w:rPr>
          <w:rFonts w:ascii="Calibri" w:hAnsi="Calibri" w:cs="Calibri"/>
          <w:i/>
        </w:rPr>
        <w:t xml:space="preserve">, </w:t>
      </w:r>
      <w:proofErr w:type="spellStart"/>
      <w:r w:rsidRPr="00AE02A3">
        <w:rPr>
          <w:rFonts w:ascii="Calibri" w:hAnsi="Calibri" w:cs="Calibri"/>
          <w:i/>
        </w:rPr>
        <w:t>Giacinta</w:t>
      </w:r>
      <w:proofErr w:type="spellEnd"/>
      <w:r w:rsidRPr="00AE02A3">
        <w:rPr>
          <w:rFonts w:ascii="Calibri" w:hAnsi="Calibri" w:cs="Calibri"/>
          <w:i/>
        </w:rPr>
        <w:t xml:space="preserve"> </w:t>
      </w:r>
      <w:proofErr w:type="spellStart"/>
      <w:r w:rsidRPr="00AE02A3">
        <w:rPr>
          <w:rFonts w:ascii="Calibri" w:hAnsi="Calibri" w:cs="Calibri"/>
          <w:i/>
        </w:rPr>
        <w:t>Parish</w:t>
      </w:r>
      <w:r w:rsidR="00C13C69">
        <w:rPr>
          <w:rFonts w:ascii="Calibri" w:hAnsi="Calibri" w:cs="Calibri"/>
          <w:i/>
          <w:vertAlign w:val="superscript"/>
        </w:rPr>
        <w:t>A</w:t>
      </w:r>
      <w:proofErr w:type="spellEnd"/>
      <w:r w:rsidRPr="00AE02A3">
        <w:rPr>
          <w:rFonts w:ascii="Calibri" w:hAnsi="Calibri" w:cs="Calibri"/>
          <w:i/>
        </w:rPr>
        <w:t xml:space="preserve">, Rob </w:t>
      </w:r>
      <w:proofErr w:type="spellStart"/>
      <w:r w:rsidRPr="00AE02A3">
        <w:rPr>
          <w:rFonts w:ascii="Calibri" w:hAnsi="Calibri" w:cs="Calibri"/>
          <w:i/>
        </w:rPr>
        <w:t>Atkin</w:t>
      </w:r>
      <w:r w:rsidR="00C13C69">
        <w:rPr>
          <w:rFonts w:ascii="Calibri" w:hAnsi="Calibri" w:cs="Calibri"/>
          <w:i/>
          <w:vertAlign w:val="superscript"/>
        </w:rPr>
        <w:t>B</w:t>
      </w:r>
      <w:proofErr w:type="spellEnd"/>
    </w:p>
    <w:p w14:paraId="2D222EAD" w14:textId="37F0F0B5" w:rsidR="00AE02A3" w:rsidRPr="00AE02A3" w:rsidRDefault="00066D12" w:rsidP="00AE02A3">
      <w:pPr>
        <w:jc w:val="center"/>
        <w:rPr>
          <w:rFonts w:ascii="Calibri" w:hAnsi="Calibri" w:cs="Calibri"/>
          <w:sz w:val="22"/>
          <w:szCs w:val="22"/>
        </w:rPr>
      </w:pPr>
      <w:proofErr w:type="spellStart"/>
      <w:r>
        <w:rPr>
          <w:rFonts w:ascii="Calibri" w:hAnsi="Calibri" w:cs="Calibri"/>
          <w:sz w:val="22"/>
          <w:szCs w:val="22"/>
          <w:vertAlign w:val="superscript"/>
        </w:rPr>
        <w:t>A</w:t>
      </w:r>
      <w:r w:rsidR="00AE02A3" w:rsidRPr="00AE02A3">
        <w:rPr>
          <w:rFonts w:ascii="Calibri" w:hAnsi="Calibri" w:cs="Calibri"/>
          <w:sz w:val="22"/>
          <w:szCs w:val="22"/>
        </w:rPr>
        <w:t>School</w:t>
      </w:r>
      <w:proofErr w:type="spellEnd"/>
      <w:r w:rsidR="00AE02A3" w:rsidRPr="00AE02A3">
        <w:rPr>
          <w:rFonts w:ascii="Calibri" w:hAnsi="Calibri" w:cs="Calibri"/>
          <w:sz w:val="22"/>
          <w:szCs w:val="22"/>
        </w:rPr>
        <w:t xml:space="preserve"> of Engineering, The University of Western Australia, </w:t>
      </w:r>
      <w:r>
        <w:rPr>
          <w:rFonts w:ascii="Calibri" w:hAnsi="Calibri" w:cs="Calibri"/>
          <w:sz w:val="22"/>
          <w:szCs w:val="22"/>
        </w:rPr>
        <w:t>Perth,</w:t>
      </w:r>
      <w:r w:rsidR="00AE02A3" w:rsidRPr="00AE02A3">
        <w:rPr>
          <w:rFonts w:ascii="Calibri" w:hAnsi="Calibri" w:cs="Calibri"/>
          <w:sz w:val="22"/>
          <w:szCs w:val="22"/>
        </w:rPr>
        <w:t xml:space="preserve"> Australia</w:t>
      </w:r>
      <w:r w:rsidR="005E5F66">
        <w:rPr>
          <w:rFonts w:ascii="Calibri" w:hAnsi="Calibri" w:cs="Calibri"/>
          <w:sz w:val="22"/>
          <w:szCs w:val="22"/>
        </w:rPr>
        <w:t xml:space="preserve">; </w:t>
      </w:r>
      <w:proofErr w:type="spellStart"/>
      <w:r w:rsidR="005E5F66">
        <w:rPr>
          <w:rFonts w:ascii="Calibri" w:hAnsi="Calibri" w:cs="Calibri"/>
          <w:sz w:val="22"/>
          <w:szCs w:val="22"/>
          <w:vertAlign w:val="superscript"/>
        </w:rPr>
        <w:t>B</w:t>
      </w:r>
      <w:r w:rsidR="00AE02A3" w:rsidRPr="00AE02A3">
        <w:rPr>
          <w:rFonts w:ascii="Calibri" w:hAnsi="Calibri" w:cs="Calibri"/>
          <w:sz w:val="22"/>
          <w:szCs w:val="22"/>
        </w:rPr>
        <w:t>School</w:t>
      </w:r>
      <w:proofErr w:type="spellEnd"/>
      <w:r w:rsidR="00AE02A3" w:rsidRPr="00AE02A3">
        <w:rPr>
          <w:rFonts w:ascii="Calibri" w:hAnsi="Calibri" w:cs="Calibri"/>
          <w:sz w:val="22"/>
          <w:szCs w:val="22"/>
        </w:rPr>
        <w:t xml:space="preserve"> of Molecular Sciences, The University of Western Australia, </w:t>
      </w:r>
      <w:r w:rsidR="005E5F66">
        <w:rPr>
          <w:rFonts w:ascii="Calibri" w:hAnsi="Calibri" w:cs="Calibri"/>
          <w:sz w:val="22"/>
          <w:szCs w:val="22"/>
        </w:rPr>
        <w:t>Perth</w:t>
      </w:r>
      <w:r w:rsidR="00AE02A3" w:rsidRPr="00AE02A3">
        <w:rPr>
          <w:rFonts w:ascii="Calibri" w:hAnsi="Calibri" w:cs="Calibri"/>
          <w:sz w:val="22"/>
          <w:szCs w:val="22"/>
        </w:rPr>
        <w:t>, Australia</w:t>
      </w:r>
      <w:r w:rsidR="005E5F66">
        <w:rPr>
          <w:rFonts w:ascii="Calibri" w:hAnsi="Calibri" w:cs="Calibri"/>
          <w:sz w:val="22"/>
          <w:szCs w:val="22"/>
        </w:rPr>
        <w:t xml:space="preserve">; </w:t>
      </w:r>
      <w:proofErr w:type="spellStart"/>
      <w:r w:rsidR="005E5F66">
        <w:rPr>
          <w:rFonts w:ascii="Calibri" w:hAnsi="Calibri" w:cs="Calibri"/>
          <w:sz w:val="22"/>
          <w:szCs w:val="22"/>
          <w:vertAlign w:val="superscript"/>
        </w:rPr>
        <w:t>C</w:t>
      </w:r>
      <w:r w:rsidR="00AE02A3" w:rsidRPr="00AE02A3">
        <w:rPr>
          <w:rFonts w:ascii="Calibri" w:hAnsi="Calibri" w:cs="Calibri"/>
          <w:sz w:val="22"/>
          <w:szCs w:val="22"/>
        </w:rPr>
        <w:t>Department</w:t>
      </w:r>
      <w:proofErr w:type="spellEnd"/>
      <w:r w:rsidR="00AE02A3" w:rsidRPr="00AE02A3">
        <w:rPr>
          <w:rFonts w:ascii="Calibri" w:hAnsi="Calibri" w:cs="Calibri"/>
          <w:sz w:val="22"/>
          <w:szCs w:val="22"/>
        </w:rPr>
        <w:t xml:space="preserve"> of Electrical and Computer Engineering, University of California Santa Barbara, Santa Barbara, </w:t>
      </w:r>
      <w:r>
        <w:rPr>
          <w:rFonts w:ascii="Calibri" w:hAnsi="Calibri" w:cs="Calibri"/>
          <w:sz w:val="22"/>
          <w:szCs w:val="22"/>
        </w:rPr>
        <w:t>USA</w:t>
      </w:r>
      <w:r w:rsidR="005C0AD1">
        <w:rPr>
          <w:rFonts w:ascii="Calibri" w:hAnsi="Calibri" w:cs="Calibri"/>
          <w:sz w:val="22"/>
          <w:szCs w:val="22"/>
        </w:rPr>
        <w:t>.</w:t>
      </w:r>
    </w:p>
    <w:p w14:paraId="301D47DF" w14:textId="1208E469" w:rsidR="00AE02A3" w:rsidRDefault="00AE02A3" w:rsidP="00AE02A3">
      <w:pPr>
        <w:rPr>
          <w:rFonts w:ascii="Calibri" w:hAnsi="Calibri" w:cs="Calibri"/>
          <w:sz w:val="22"/>
          <w:szCs w:val="22"/>
          <w:lang w:val="en-AU"/>
        </w:rPr>
      </w:pPr>
    </w:p>
    <w:p w14:paraId="35D9DF9C" w14:textId="4816DCB1" w:rsidR="00711813" w:rsidRPr="00B550EC" w:rsidRDefault="00711813" w:rsidP="00AE02A3">
      <w:pPr>
        <w:rPr>
          <w:rFonts w:ascii="Calibri" w:hAnsi="Calibri" w:cs="Calibri"/>
          <w:b/>
          <w:sz w:val="22"/>
          <w:szCs w:val="22"/>
          <w:lang w:val="en-AU"/>
        </w:rPr>
      </w:pPr>
      <w:r w:rsidRPr="00B550EC">
        <w:rPr>
          <w:rFonts w:ascii="Calibri" w:hAnsi="Calibri" w:cs="Calibri"/>
          <w:b/>
          <w:sz w:val="22"/>
          <w:szCs w:val="22"/>
          <w:lang w:val="en-AU"/>
        </w:rPr>
        <w:t>Introduction.</w:t>
      </w:r>
    </w:p>
    <w:p w14:paraId="4194454A" w14:textId="31E02BAB" w:rsidR="00045573" w:rsidRDefault="004216CD" w:rsidP="00711813">
      <w:pPr>
        <w:jc w:val="both"/>
        <w:rPr>
          <w:rFonts w:ascii="Calibri" w:hAnsi="Calibri" w:cs="Calibri"/>
          <w:sz w:val="22"/>
          <w:szCs w:val="22"/>
          <w:lang w:val="en-AU" w:eastAsia="zh-CN"/>
        </w:rPr>
      </w:pPr>
      <w:r w:rsidRPr="004216CD">
        <w:rPr>
          <w:rFonts w:ascii="Calibri" w:hAnsi="Calibri" w:cs="Calibri"/>
          <w:sz w:val="22"/>
          <w:szCs w:val="22"/>
          <w:lang w:val="en-AU" w:eastAsia="zh-CN"/>
        </w:rPr>
        <w:t xml:space="preserve">Surfactants are of industrial interest for applications such as wetting, detergency and floatation. </w:t>
      </w:r>
      <w:r w:rsidR="00255EAC">
        <w:rPr>
          <w:rFonts w:ascii="Calibri" w:hAnsi="Calibri" w:cs="Calibri"/>
          <w:sz w:val="22"/>
          <w:szCs w:val="22"/>
          <w:lang w:val="en-AU" w:eastAsia="zh-CN"/>
        </w:rPr>
        <w:t>Moreover, i</w:t>
      </w:r>
      <w:r w:rsidRPr="004216CD">
        <w:rPr>
          <w:rFonts w:ascii="Calibri" w:hAnsi="Calibri" w:cs="Calibri"/>
          <w:sz w:val="22"/>
          <w:szCs w:val="22"/>
          <w:lang w:val="en-AU" w:eastAsia="zh-CN"/>
        </w:rPr>
        <w:t>onic surfactants can adsorb on surfaces of the opposite charg</w:t>
      </w:r>
      <w:r>
        <w:rPr>
          <w:rFonts w:ascii="Calibri" w:hAnsi="Calibri" w:cs="Calibri"/>
          <w:sz w:val="22"/>
          <w:szCs w:val="22"/>
          <w:lang w:val="en-AU" w:eastAsia="zh-CN"/>
        </w:rPr>
        <w:t>e, making them suitable for studying</w:t>
      </w:r>
      <w:r w:rsidR="007D4B5F">
        <w:rPr>
          <w:rFonts w:ascii="Calibri" w:hAnsi="Calibri" w:cs="Calibri"/>
          <w:sz w:val="22"/>
          <w:szCs w:val="22"/>
          <w:lang w:val="en-AU" w:eastAsia="zh-CN"/>
        </w:rPr>
        <w:t xml:space="preserve"> nanoscale</w:t>
      </w:r>
      <w:r>
        <w:rPr>
          <w:rFonts w:ascii="Calibri" w:hAnsi="Calibri" w:cs="Calibri"/>
          <w:sz w:val="22"/>
          <w:szCs w:val="22"/>
          <w:lang w:val="en-AU" w:eastAsia="zh-CN"/>
        </w:rPr>
        <w:t xml:space="preserve"> </w:t>
      </w:r>
      <w:r w:rsidR="006C67EC">
        <w:rPr>
          <w:rFonts w:ascii="Calibri" w:hAnsi="Calibri" w:cs="Calibri" w:hint="eastAsia"/>
          <w:sz w:val="22"/>
          <w:szCs w:val="22"/>
          <w:lang w:val="en-AU" w:eastAsia="zh-CN"/>
        </w:rPr>
        <w:t>inter</w:t>
      </w:r>
      <w:r w:rsidR="006C67EC">
        <w:rPr>
          <w:rFonts w:ascii="Calibri" w:hAnsi="Calibri" w:cs="Calibri"/>
          <w:sz w:val="22"/>
          <w:szCs w:val="22"/>
          <w:lang w:val="en-AU" w:eastAsia="zh-CN"/>
        </w:rPr>
        <w:t xml:space="preserve">facial </w:t>
      </w:r>
      <w:r>
        <w:rPr>
          <w:rFonts w:ascii="Calibri" w:hAnsi="Calibri" w:cs="Calibri"/>
          <w:sz w:val="22"/>
          <w:szCs w:val="22"/>
          <w:lang w:val="en-AU" w:eastAsia="zh-CN"/>
        </w:rPr>
        <w:t>charge properties</w:t>
      </w:r>
      <w:r w:rsidRPr="004216CD">
        <w:rPr>
          <w:rFonts w:ascii="Calibri" w:hAnsi="Calibri" w:cs="Calibri" w:hint="eastAsia"/>
          <w:sz w:val="22"/>
          <w:szCs w:val="22"/>
          <w:lang w:val="en-AU" w:eastAsia="zh-CN"/>
        </w:rPr>
        <w:t>.</w:t>
      </w:r>
      <w:r w:rsidR="00C11323" w:rsidRPr="00C11323">
        <w:t xml:space="preserve"> </w:t>
      </w:r>
      <w:r w:rsidR="00C11323" w:rsidRPr="00C11323">
        <w:rPr>
          <w:rFonts w:ascii="Calibri" w:hAnsi="Calibri" w:cs="Calibri"/>
          <w:sz w:val="22"/>
          <w:szCs w:val="22"/>
          <w:lang w:val="en-AU" w:eastAsia="zh-CN"/>
        </w:rPr>
        <w:t xml:space="preserve">This work describes investigations into selective adsorption of </w:t>
      </w:r>
      <w:r w:rsidR="007621DF">
        <w:rPr>
          <w:rFonts w:ascii="Calibri" w:hAnsi="Calibri" w:cs="Calibri"/>
          <w:sz w:val="22"/>
          <w:szCs w:val="22"/>
          <w:lang w:val="en-AU" w:eastAsia="zh-CN"/>
        </w:rPr>
        <w:t>cationic surfactant cetyltrimethylammonium bromide (CTAB) and anionic</w:t>
      </w:r>
      <w:r w:rsidR="00C11323" w:rsidRPr="00C11323">
        <w:rPr>
          <w:rFonts w:ascii="Calibri" w:hAnsi="Calibri" w:cs="Calibri"/>
          <w:sz w:val="22"/>
          <w:szCs w:val="22"/>
          <w:lang w:val="en-AU" w:eastAsia="zh-CN"/>
        </w:rPr>
        <w:t xml:space="preserve"> surfactant</w:t>
      </w:r>
      <w:r w:rsidR="007621DF">
        <w:rPr>
          <w:rFonts w:ascii="Calibri" w:hAnsi="Calibri" w:cs="Calibri"/>
          <w:sz w:val="22"/>
          <w:szCs w:val="22"/>
          <w:lang w:val="en-AU" w:eastAsia="zh-CN"/>
        </w:rPr>
        <w:t xml:space="preserve"> sodium dodecylsulphate (SDS)</w:t>
      </w:r>
      <w:r w:rsidR="00C11323" w:rsidRPr="00C11323">
        <w:rPr>
          <w:rFonts w:ascii="Calibri" w:hAnsi="Calibri" w:cs="Calibri"/>
          <w:sz w:val="22"/>
          <w:szCs w:val="22"/>
          <w:lang w:val="en-AU" w:eastAsia="zh-CN"/>
        </w:rPr>
        <w:t xml:space="preserve"> on </w:t>
      </w:r>
      <w:r w:rsidR="00625305">
        <w:rPr>
          <w:rFonts w:ascii="Calibri" w:hAnsi="Calibri" w:cs="Calibri"/>
          <w:sz w:val="22"/>
          <w:szCs w:val="22"/>
          <w:lang w:val="en-AU" w:eastAsia="zh-CN"/>
        </w:rPr>
        <w:t>GaN/</w:t>
      </w:r>
      <w:r w:rsidR="00C11323" w:rsidRPr="00C11323">
        <w:rPr>
          <w:rFonts w:ascii="Calibri" w:hAnsi="Calibri" w:cs="Calibri"/>
          <w:sz w:val="22"/>
          <w:szCs w:val="22"/>
          <w:lang w:val="en-AU" w:eastAsia="zh-CN"/>
        </w:rPr>
        <w:t xml:space="preserve">AlGaN/GaN-based </w:t>
      </w:r>
      <w:r w:rsidR="00C11323">
        <w:rPr>
          <w:rFonts w:ascii="Calibri" w:hAnsi="Calibri" w:cs="Calibri"/>
          <w:sz w:val="22"/>
          <w:szCs w:val="22"/>
          <w:lang w:val="en-AU" w:eastAsia="zh-CN"/>
        </w:rPr>
        <w:t>ion-sensitive</w:t>
      </w:r>
      <w:r w:rsidR="00C11323" w:rsidRPr="00C11323">
        <w:rPr>
          <w:rFonts w:ascii="Calibri" w:hAnsi="Calibri" w:cs="Calibri"/>
          <w:sz w:val="22"/>
          <w:szCs w:val="22"/>
          <w:lang w:val="en-AU" w:eastAsia="zh-CN"/>
        </w:rPr>
        <w:t xml:space="preserve"> field effect transistors (ISFETs)</w:t>
      </w:r>
      <w:r w:rsidR="00625305">
        <w:rPr>
          <w:rFonts w:ascii="Calibri" w:hAnsi="Calibri" w:cs="Calibri"/>
          <w:sz w:val="22"/>
          <w:szCs w:val="22"/>
          <w:lang w:val="en-AU" w:eastAsia="zh-CN"/>
        </w:rPr>
        <w:t xml:space="preserve"> to provide insight into the pH-dependent surface charge of GaN</w:t>
      </w:r>
      <w:r w:rsidR="00C11323" w:rsidRPr="00C11323">
        <w:rPr>
          <w:rFonts w:ascii="Calibri" w:hAnsi="Calibri" w:cs="Calibri"/>
          <w:sz w:val="22"/>
          <w:szCs w:val="22"/>
          <w:lang w:val="en-AU" w:eastAsia="zh-CN"/>
        </w:rPr>
        <w:t xml:space="preserve">, which </w:t>
      </w:r>
      <w:r w:rsidR="00625305">
        <w:rPr>
          <w:rFonts w:ascii="Calibri" w:hAnsi="Calibri" w:cs="Calibri"/>
          <w:sz w:val="22"/>
          <w:szCs w:val="22"/>
          <w:lang w:val="en-AU" w:eastAsia="zh-CN"/>
        </w:rPr>
        <w:t>is</w:t>
      </w:r>
      <w:r w:rsidR="00C11323" w:rsidRPr="00C11323">
        <w:rPr>
          <w:rFonts w:ascii="Calibri" w:hAnsi="Calibri" w:cs="Calibri"/>
          <w:sz w:val="22"/>
          <w:szCs w:val="22"/>
          <w:lang w:val="en-AU" w:eastAsia="zh-CN"/>
        </w:rPr>
        <w:t xml:space="preserve"> of interest in many applications requiring portable ion sensing.</w:t>
      </w:r>
    </w:p>
    <w:p w14:paraId="23222D40" w14:textId="77777777" w:rsidR="000B46E4" w:rsidRPr="006B3866" w:rsidRDefault="000B46E4" w:rsidP="00711813">
      <w:pPr>
        <w:jc w:val="both"/>
        <w:rPr>
          <w:rFonts w:ascii="Calibri" w:hAnsi="Calibri" w:cs="Calibri"/>
          <w:sz w:val="22"/>
          <w:szCs w:val="22"/>
          <w:lang w:val="en-AU"/>
        </w:rPr>
      </w:pPr>
    </w:p>
    <w:p w14:paraId="70330504" w14:textId="1C5F1363" w:rsidR="00711813" w:rsidRPr="00B550EC" w:rsidRDefault="00711813" w:rsidP="00711813">
      <w:pPr>
        <w:jc w:val="both"/>
        <w:rPr>
          <w:rFonts w:ascii="Calibri" w:hAnsi="Calibri" w:cs="Calibri"/>
          <w:b/>
          <w:sz w:val="22"/>
          <w:szCs w:val="22"/>
          <w:lang w:val="en-AU"/>
        </w:rPr>
      </w:pPr>
      <w:r w:rsidRPr="00B550EC">
        <w:rPr>
          <w:rFonts w:ascii="Calibri" w:hAnsi="Calibri" w:cs="Calibri"/>
          <w:b/>
          <w:sz w:val="22"/>
          <w:szCs w:val="22"/>
          <w:lang w:val="en-AU"/>
        </w:rPr>
        <w:t xml:space="preserve">Methods. </w:t>
      </w:r>
    </w:p>
    <w:p w14:paraId="38ACA1BD" w14:textId="1818D776" w:rsidR="00630985" w:rsidRPr="00630985" w:rsidRDefault="00630985" w:rsidP="00630985">
      <w:pPr>
        <w:jc w:val="both"/>
        <w:rPr>
          <w:rFonts w:ascii="Calibri" w:hAnsi="Calibri" w:cs="Calibri"/>
          <w:sz w:val="22"/>
          <w:szCs w:val="22"/>
          <w:lang w:val="en-AU"/>
        </w:rPr>
      </w:pPr>
      <w:r w:rsidRPr="00630985">
        <w:rPr>
          <w:rFonts w:ascii="Calibri" w:hAnsi="Calibri" w:cs="Calibri"/>
          <w:sz w:val="22"/>
          <w:szCs w:val="22"/>
          <w:lang w:val="en-AU"/>
        </w:rPr>
        <w:t xml:space="preserve">The </w:t>
      </w:r>
      <w:proofErr w:type="spellStart"/>
      <w:r w:rsidR="00C72CEC">
        <w:rPr>
          <w:rFonts w:ascii="Calibri" w:hAnsi="Calibri" w:cs="Calibri"/>
          <w:sz w:val="22"/>
          <w:szCs w:val="22"/>
          <w:lang w:val="en-AU"/>
        </w:rPr>
        <w:t>nano</w:t>
      </w:r>
      <w:proofErr w:type="spellEnd"/>
      <w:r w:rsidR="00C72CEC">
        <w:rPr>
          <w:rFonts w:ascii="Calibri" w:hAnsi="Calibri" w:cs="Calibri"/>
          <w:sz w:val="22"/>
          <w:szCs w:val="22"/>
          <w:lang w:val="en-AU"/>
        </w:rPr>
        <w:t>-manufacturing</w:t>
      </w:r>
      <w:r w:rsidRPr="00630985">
        <w:rPr>
          <w:rFonts w:ascii="Calibri" w:hAnsi="Calibri" w:cs="Calibri"/>
          <w:sz w:val="22"/>
          <w:szCs w:val="22"/>
          <w:lang w:val="en-AU"/>
        </w:rPr>
        <w:t xml:space="preserve"> of reference-electrode-free pH sensors based on </w:t>
      </w:r>
      <w:r w:rsidR="00A04009">
        <w:rPr>
          <w:rFonts w:ascii="Calibri" w:hAnsi="Calibri" w:cs="Calibri"/>
          <w:sz w:val="22"/>
          <w:szCs w:val="22"/>
          <w:lang w:val="en-AU" w:eastAsia="zh-CN"/>
        </w:rPr>
        <w:t>Ga</w:t>
      </w:r>
      <w:r w:rsidRPr="00630985">
        <w:rPr>
          <w:rFonts w:ascii="Calibri" w:hAnsi="Calibri" w:cs="Calibri"/>
          <w:sz w:val="22"/>
          <w:szCs w:val="22"/>
          <w:lang w:val="en-AU"/>
        </w:rPr>
        <w:t>N/AlGaN/GaN structure</w:t>
      </w:r>
      <w:r w:rsidR="00A04009">
        <w:rPr>
          <w:rFonts w:ascii="Calibri" w:hAnsi="Calibri" w:cs="Calibri"/>
          <w:sz w:val="22"/>
          <w:szCs w:val="22"/>
          <w:lang w:val="en-AU"/>
        </w:rPr>
        <w:t>s</w:t>
      </w:r>
      <w:r w:rsidR="007E3C0C">
        <w:rPr>
          <w:rFonts w:ascii="Calibri" w:hAnsi="Calibri" w:cs="Calibri"/>
          <w:sz w:val="22"/>
          <w:szCs w:val="22"/>
          <w:lang w:val="en-AU"/>
        </w:rPr>
        <w:t xml:space="preserve"> (Fig. 1a)</w:t>
      </w:r>
      <w:r w:rsidRPr="00630985">
        <w:rPr>
          <w:rFonts w:ascii="Calibri" w:hAnsi="Calibri" w:cs="Calibri"/>
          <w:sz w:val="22"/>
          <w:szCs w:val="22"/>
          <w:lang w:val="en-AU"/>
        </w:rPr>
        <w:t xml:space="preserve"> was carried out using standard cleanroom techniques</w:t>
      </w:r>
      <w:r w:rsidR="00BE3B7C">
        <w:rPr>
          <w:rFonts w:ascii="Calibri" w:hAnsi="Calibri" w:cs="Calibri"/>
          <w:sz w:val="22"/>
          <w:szCs w:val="22"/>
          <w:lang w:val="en-AU"/>
        </w:rPr>
        <w:t xml:space="preserve"> at Australian National Fabrication Facility – Western Australian Node</w:t>
      </w:r>
      <w:r w:rsidRPr="00630985">
        <w:rPr>
          <w:rFonts w:ascii="Calibri" w:hAnsi="Calibri" w:cs="Calibri"/>
          <w:sz w:val="22"/>
          <w:szCs w:val="22"/>
          <w:lang w:val="en-AU"/>
        </w:rPr>
        <w:t xml:space="preserve">. The major steps of the </w:t>
      </w:r>
      <w:r w:rsidR="008A29C8">
        <w:rPr>
          <w:rFonts w:ascii="Calibri" w:hAnsi="Calibri" w:cs="Calibri"/>
          <w:sz w:val="22"/>
          <w:szCs w:val="22"/>
          <w:lang w:val="en-AU"/>
        </w:rPr>
        <w:t>manufacturing</w:t>
      </w:r>
      <w:r w:rsidRPr="00630985">
        <w:rPr>
          <w:rFonts w:ascii="Calibri" w:hAnsi="Calibri" w:cs="Calibri"/>
          <w:sz w:val="22"/>
          <w:szCs w:val="22"/>
          <w:lang w:val="en-AU"/>
        </w:rPr>
        <w:t xml:space="preserve"> included photolithography, mesa etching using Cl</w:t>
      </w:r>
      <w:r w:rsidRPr="00065D4F">
        <w:rPr>
          <w:rFonts w:ascii="Calibri" w:hAnsi="Calibri" w:cs="Calibri"/>
          <w:sz w:val="22"/>
          <w:szCs w:val="22"/>
          <w:vertAlign w:val="subscript"/>
          <w:lang w:val="en-AU"/>
        </w:rPr>
        <w:t>2</w:t>
      </w:r>
      <w:r w:rsidRPr="00630985">
        <w:rPr>
          <w:rFonts w:ascii="Calibri" w:hAnsi="Calibri" w:cs="Calibri"/>
          <w:sz w:val="22"/>
          <w:szCs w:val="22"/>
          <w:lang w:val="en-AU"/>
        </w:rPr>
        <w:t>-based reactive ion etching, metalli</w:t>
      </w:r>
      <w:r w:rsidR="00625305">
        <w:rPr>
          <w:rFonts w:ascii="Calibri" w:hAnsi="Calibri" w:cs="Calibri"/>
          <w:sz w:val="22"/>
          <w:szCs w:val="22"/>
          <w:lang w:val="en-AU"/>
        </w:rPr>
        <w:t>s</w:t>
      </w:r>
      <w:r w:rsidRPr="00630985">
        <w:rPr>
          <w:rFonts w:ascii="Calibri" w:hAnsi="Calibri" w:cs="Calibri"/>
          <w:sz w:val="22"/>
          <w:szCs w:val="22"/>
          <w:lang w:val="en-AU"/>
        </w:rPr>
        <w:t xml:space="preserve">ation, rapid thermal annealing, SU-8 passivation and packaging. </w:t>
      </w:r>
    </w:p>
    <w:p w14:paraId="51C5B470" w14:textId="77777777" w:rsidR="00630985" w:rsidRPr="00630985" w:rsidRDefault="00630985" w:rsidP="00630985">
      <w:pPr>
        <w:jc w:val="both"/>
        <w:rPr>
          <w:rFonts w:ascii="Calibri" w:hAnsi="Calibri" w:cs="Calibri"/>
          <w:sz w:val="22"/>
          <w:szCs w:val="22"/>
          <w:lang w:val="en-AU"/>
        </w:rPr>
      </w:pPr>
    </w:p>
    <w:p w14:paraId="70546230" w14:textId="4D841E67" w:rsidR="00045573" w:rsidRPr="00CB279C" w:rsidRDefault="00630985" w:rsidP="00630985">
      <w:pPr>
        <w:jc w:val="both"/>
        <w:rPr>
          <w:rFonts w:ascii="Calibri" w:hAnsi="Calibri" w:cs="Calibri"/>
          <w:sz w:val="22"/>
          <w:szCs w:val="22"/>
          <w:lang w:val="en-AU"/>
        </w:rPr>
      </w:pPr>
      <w:r w:rsidRPr="00630985">
        <w:rPr>
          <w:rFonts w:ascii="Calibri" w:hAnsi="Calibri" w:cs="Calibri"/>
          <w:sz w:val="22"/>
          <w:szCs w:val="22"/>
          <w:lang w:val="en-AU"/>
        </w:rPr>
        <w:t xml:space="preserve">The </w:t>
      </w:r>
      <w:r w:rsidR="00C610E3">
        <w:rPr>
          <w:rFonts w:ascii="Calibri" w:hAnsi="Calibri" w:cs="Calibri"/>
          <w:sz w:val="22"/>
          <w:szCs w:val="22"/>
          <w:lang w:val="en-AU"/>
        </w:rPr>
        <w:t>manufactured</w:t>
      </w:r>
      <w:r w:rsidRPr="00630985">
        <w:rPr>
          <w:rFonts w:ascii="Calibri" w:hAnsi="Calibri" w:cs="Calibri"/>
          <w:sz w:val="22"/>
          <w:szCs w:val="22"/>
          <w:lang w:val="en-AU"/>
        </w:rPr>
        <w:t xml:space="preserve"> pH sensors were tested without surface functionali</w:t>
      </w:r>
      <w:r w:rsidR="002B0B93">
        <w:rPr>
          <w:rFonts w:ascii="Calibri" w:hAnsi="Calibri" w:cs="Calibri"/>
          <w:sz w:val="22"/>
          <w:szCs w:val="22"/>
          <w:lang w:val="en-AU"/>
        </w:rPr>
        <w:t>s</w:t>
      </w:r>
      <w:r w:rsidRPr="00630985">
        <w:rPr>
          <w:rFonts w:ascii="Calibri" w:hAnsi="Calibri" w:cs="Calibri"/>
          <w:sz w:val="22"/>
          <w:szCs w:val="22"/>
          <w:lang w:val="en-AU"/>
        </w:rPr>
        <w:t xml:space="preserve">ation. The sensors were excited by a 100 </w:t>
      </w:r>
      <w:r w:rsidR="00CC5C25">
        <w:rPr>
          <w:rFonts w:ascii="Calibri" w:hAnsi="Calibri" w:cs="Calibri" w:hint="eastAsia"/>
          <w:sz w:val="22"/>
          <w:szCs w:val="22"/>
          <w:lang w:val="en-AU" w:eastAsia="zh-CN"/>
        </w:rPr>
        <w:t>µ</w:t>
      </w:r>
      <w:r w:rsidRPr="00630985">
        <w:rPr>
          <w:rFonts w:ascii="Calibri" w:hAnsi="Calibri" w:cs="Calibri"/>
          <w:sz w:val="22"/>
          <w:szCs w:val="22"/>
          <w:lang w:val="en-AU"/>
        </w:rPr>
        <w:t>A constant current source and immersed in various electrolytic solutions. The drain-source voltage across an open gate area in the sensor was measured as the sensor respons</w:t>
      </w:r>
      <w:r w:rsidR="009E57BF">
        <w:rPr>
          <w:rFonts w:ascii="Calibri" w:hAnsi="Calibri" w:cs="Calibri"/>
          <w:sz w:val="22"/>
          <w:szCs w:val="22"/>
          <w:lang w:val="en-AU"/>
        </w:rPr>
        <w:t>e</w:t>
      </w:r>
      <w:r w:rsidRPr="00630985">
        <w:rPr>
          <w:rFonts w:ascii="Calibri" w:hAnsi="Calibri" w:cs="Calibri"/>
          <w:sz w:val="22"/>
          <w:szCs w:val="22"/>
          <w:lang w:val="en-AU"/>
        </w:rPr>
        <w:t>. The solutions used in this work include HNO</w:t>
      </w:r>
      <w:r w:rsidRPr="00F1498A">
        <w:rPr>
          <w:rFonts w:ascii="Calibri" w:hAnsi="Calibri" w:cs="Calibri"/>
          <w:sz w:val="22"/>
          <w:szCs w:val="22"/>
          <w:vertAlign w:val="subscript"/>
          <w:lang w:val="en-AU"/>
        </w:rPr>
        <w:t>3</w:t>
      </w:r>
      <w:r w:rsidR="006B077B">
        <w:rPr>
          <w:rFonts w:ascii="Calibri" w:hAnsi="Calibri" w:cs="Calibri"/>
          <w:sz w:val="22"/>
          <w:szCs w:val="22"/>
          <w:lang w:val="en-AU"/>
        </w:rPr>
        <w:t xml:space="preserve"> </w:t>
      </w:r>
      <w:r w:rsidRPr="00630985">
        <w:rPr>
          <w:rFonts w:ascii="Calibri" w:hAnsi="Calibri" w:cs="Calibri"/>
          <w:sz w:val="22"/>
          <w:szCs w:val="22"/>
          <w:lang w:val="en-AU"/>
        </w:rPr>
        <w:t>with or without SDS and NaOH with or without CTAB. The pH of the solutions was controlled manually by adding 1 M HNO</w:t>
      </w:r>
      <w:r w:rsidRPr="00F1498A">
        <w:rPr>
          <w:rFonts w:ascii="Calibri" w:hAnsi="Calibri" w:cs="Calibri"/>
          <w:sz w:val="22"/>
          <w:szCs w:val="22"/>
          <w:vertAlign w:val="subscript"/>
          <w:lang w:val="en-AU"/>
        </w:rPr>
        <w:t>3</w:t>
      </w:r>
      <w:r w:rsidRPr="00630985">
        <w:rPr>
          <w:rFonts w:ascii="Calibri" w:hAnsi="Calibri" w:cs="Calibri"/>
          <w:sz w:val="22"/>
          <w:szCs w:val="22"/>
          <w:lang w:val="en-AU"/>
        </w:rPr>
        <w:t xml:space="preserve"> or NaOH into the testing solutions, and for the combinations with a surfactant, the surfactant concentrations were kept constant, above twice the critical micelle concentrations (cmc). At those concentrations, the surfactants present in bulk solution as spherical micelles.</w:t>
      </w:r>
    </w:p>
    <w:p w14:paraId="7825BC9C" w14:textId="77777777" w:rsidR="00630985" w:rsidRPr="006B3866" w:rsidRDefault="00630985" w:rsidP="00630985">
      <w:pPr>
        <w:jc w:val="both"/>
        <w:rPr>
          <w:rFonts w:ascii="Calibri" w:hAnsi="Calibri" w:cs="Calibri"/>
          <w:sz w:val="22"/>
          <w:szCs w:val="22"/>
          <w:lang w:val="en-AU"/>
        </w:rPr>
      </w:pPr>
    </w:p>
    <w:p w14:paraId="717F7254" w14:textId="153BAD25" w:rsidR="00B2304A" w:rsidRPr="00B550EC" w:rsidRDefault="00711813" w:rsidP="00B2304A">
      <w:pPr>
        <w:jc w:val="both"/>
        <w:rPr>
          <w:rFonts w:ascii="Calibri" w:hAnsi="Calibri" w:cs="Calibri"/>
          <w:b/>
          <w:sz w:val="22"/>
          <w:szCs w:val="22"/>
          <w:lang w:val="en-AU"/>
        </w:rPr>
      </w:pPr>
      <w:r w:rsidRPr="00B550EC">
        <w:rPr>
          <w:rFonts w:ascii="Calibri" w:hAnsi="Calibri" w:cs="Calibri"/>
          <w:b/>
          <w:sz w:val="22"/>
          <w:szCs w:val="22"/>
          <w:lang w:val="en-AU"/>
        </w:rPr>
        <w:t>Results</w:t>
      </w:r>
      <w:r w:rsidR="00962A91" w:rsidRPr="00B550EC">
        <w:rPr>
          <w:rFonts w:ascii="Calibri" w:hAnsi="Calibri" w:cs="Calibri"/>
          <w:b/>
          <w:sz w:val="22"/>
          <w:szCs w:val="22"/>
          <w:lang w:val="en-AU"/>
        </w:rPr>
        <w:t xml:space="preserve"> and discussion</w:t>
      </w:r>
      <w:r w:rsidRPr="00B550EC">
        <w:rPr>
          <w:rFonts w:ascii="Calibri" w:hAnsi="Calibri" w:cs="Calibri"/>
          <w:b/>
          <w:sz w:val="22"/>
          <w:szCs w:val="22"/>
          <w:lang w:val="en-AU"/>
        </w:rPr>
        <w:t xml:space="preserve">. </w:t>
      </w:r>
    </w:p>
    <w:p w14:paraId="73038F13" w14:textId="5B9684C3" w:rsidR="00630985" w:rsidRDefault="007824B5" w:rsidP="00B2304A">
      <w:pPr>
        <w:jc w:val="both"/>
        <w:rPr>
          <w:rFonts w:ascii="Calibri" w:hAnsi="Calibri" w:cs="Calibri"/>
          <w:sz w:val="22"/>
          <w:szCs w:val="22"/>
        </w:rPr>
      </w:pPr>
      <w:r>
        <w:rPr>
          <w:rFonts w:ascii="Calibri" w:hAnsi="Calibri" w:cs="Calibri"/>
          <w:sz w:val="22"/>
          <w:szCs w:val="22"/>
        </w:rPr>
        <w:t>As shown in Fig. 1</w:t>
      </w:r>
      <w:r w:rsidR="007E3C0C">
        <w:rPr>
          <w:rFonts w:ascii="Calibri" w:hAnsi="Calibri" w:cs="Calibri"/>
          <w:sz w:val="22"/>
          <w:szCs w:val="22"/>
        </w:rPr>
        <w:t>b</w:t>
      </w:r>
      <w:r>
        <w:rPr>
          <w:rFonts w:ascii="Calibri" w:hAnsi="Calibri" w:cs="Calibri"/>
          <w:sz w:val="22"/>
          <w:szCs w:val="22"/>
        </w:rPr>
        <w:t>, t</w:t>
      </w:r>
      <w:r w:rsidR="00B2304A" w:rsidRPr="00B2304A">
        <w:rPr>
          <w:rFonts w:ascii="Calibri" w:hAnsi="Calibri" w:cs="Calibri"/>
          <w:sz w:val="22"/>
          <w:szCs w:val="22"/>
        </w:rPr>
        <w:t xml:space="preserve">he results show that the sensor response is different in the presence of ionic surfactants, compared to the response to pH alone. Without the surfactants, conductivity decreases monotonically with an increasing pH as is typical for AlGaN/GaN-based pH sensors. In the presence of SDS, the scale of sensor conductivity change as a function of pH decreases significantly at low pH, reaching a near-plateau below pH 2.5. In the presence of CTAB, the trend of the sensor response vs. pH reverses above pH 10. As confirmed by </w:t>
      </w:r>
      <w:r w:rsidR="00BA4894">
        <w:rPr>
          <w:rFonts w:ascii="Calibri" w:hAnsi="Calibri" w:cs="Calibri"/>
          <w:sz w:val="22"/>
          <w:szCs w:val="22"/>
        </w:rPr>
        <w:t>separate</w:t>
      </w:r>
      <w:r w:rsidR="00BA4894" w:rsidRPr="00B2304A">
        <w:rPr>
          <w:rFonts w:ascii="Calibri" w:hAnsi="Calibri" w:cs="Calibri"/>
          <w:sz w:val="22"/>
          <w:szCs w:val="22"/>
        </w:rPr>
        <w:t xml:space="preserve"> </w:t>
      </w:r>
      <w:r w:rsidR="00B2304A" w:rsidRPr="00B2304A">
        <w:rPr>
          <w:rFonts w:ascii="Calibri" w:hAnsi="Calibri" w:cs="Calibri"/>
          <w:sz w:val="22"/>
          <w:szCs w:val="22"/>
        </w:rPr>
        <w:t>AFM experiment</w:t>
      </w:r>
      <w:r w:rsidR="00BA4894">
        <w:rPr>
          <w:rFonts w:ascii="Calibri" w:hAnsi="Calibri" w:cs="Calibri"/>
          <w:sz w:val="22"/>
          <w:szCs w:val="22"/>
        </w:rPr>
        <w:t>s</w:t>
      </w:r>
      <w:r w:rsidR="00B2304A" w:rsidRPr="00B2304A">
        <w:rPr>
          <w:rFonts w:ascii="Calibri" w:hAnsi="Calibri" w:cs="Calibri"/>
          <w:sz w:val="22"/>
          <w:szCs w:val="22"/>
        </w:rPr>
        <w:t xml:space="preserve"> studying the adsorption of ionic surfactants on GaN surfaces, this divergence of the sensor response is likely due to the GaN surface charge reversal caused by adsorbed surfactants.</w:t>
      </w:r>
    </w:p>
    <w:p w14:paraId="688A1B06" w14:textId="77777777" w:rsidR="00B2304A" w:rsidRPr="00630985" w:rsidRDefault="00B2304A" w:rsidP="00B2304A">
      <w:pPr>
        <w:jc w:val="both"/>
        <w:rPr>
          <w:rFonts w:ascii="Calibri" w:hAnsi="Calibri" w:cs="Calibri"/>
          <w:sz w:val="22"/>
          <w:szCs w:val="22"/>
        </w:rPr>
      </w:pPr>
    </w:p>
    <w:p w14:paraId="6A94BEEA" w14:textId="0804D862" w:rsidR="00630985" w:rsidRPr="00630985" w:rsidRDefault="003B4F76" w:rsidP="00F21445">
      <w:pPr>
        <w:jc w:val="center"/>
        <w:rPr>
          <w:rFonts w:ascii="Calibri" w:hAnsi="Calibri" w:cs="Calibri"/>
          <w:sz w:val="22"/>
          <w:szCs w:val="22"/>
        </w:rPr>
      </w:pPr>
      <w:r>
        <w:rPr>
          <w:rFonts w:ascii="Calibri" w:hAnsi="Calibri" w:cs="Calibri"/>
          <w:noProof/>
          <w:sz w:val="22"/>
          <w:szCs w:val="22"/>
          <w:lang w:eastAsia="zh-CN"/>
        </w:rPr>
        <w:drawing>
          <wp:inline distT="0" distB="0" distL="0" distR="0" wp14:anchorId="3CEDC99F" wp14:editId="7632EEF0">
            <wp:extent cx="4437816" cy="1460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trations.tiff"/>
                    <pic:cNvPicPr/>
                  </pic:nvPicPr>
                  <pic:blipFill>
                    <a:blip r:embed="rId5" cstate="hqprint">
                      <a:extLst>
                        <a:ext uri="{28A0092B-C50C-407E-A947-70E740481C1C}">
                          <a14:useLocalDpi xmlns:a14="http://schemas.microsoft.com/office/drawing/2010/main"/>
                        </a:ext>
                      </a:extLst>
                    </a:blip>
                    <a:stretch>
                      <a:fillRect/>
                    </a:stretch>
                  </pic:blipFill>
                  <pic:spPr>
                    <a:xfrm>
                      <a:off x="0" y="0"/>
                      <a:ext cx="4478696" cy="1474001"/>
                    </a:xfrm>
                    <a:prstGeom prst="rect">
                      <a:avLst/>
                    </a:prstGeom>
                  </pic:spPr>
                </pic:pic>
              </a:graphicData>
            </a:graphic>
          </wp:inline>
        </w:drawing>
      </w:r>
    </w:p>
    <w:p w14:paraId="19A0A76F" w14:textId="19D6DE89" w:rsidR="00F97620" w:rsidRPr="00E15B24" w:rsidRDefault="00630985" w:rsidP="00DC0ABB">
      <w:pPr>
        <w:jc w:val="both"/>
        <w:rPr>
          <w:rFonts w:ascii="Calibri" w:hAnsi="Calibri" w:cs="Calibri"/>
          <w:sz w:val="22"/>
          <w:szCs w:val="22"/>
        </w:rPr>
      </w:pPr>
      <w:r w:rsidRPr="007E3C0C">
        <w:rPr>
          <w:rFonts w:ascii="Calibri" w:hAnsi="Calibri" w:cs="Calibri"/>
          <w:b/>
          <w:bCs/>
          <w:sz w:val="22"/>
          <w:szCs w:val="22"/>
        </w:rPr>
        <w:t>Fig. 1.</w:t>
      </w:r>
      <w:r>
        <w:rPr>
          <w:rFonts w:ascii="Calibri" w:hAnsi="Calibri" w:cs="Calibri"/>
          <w:sz w:val="22"/>
          <w:szCs w:val="22"/>
        </w:rPr>
        <w:t xml:space="preserve"> (a)</w:t>
      </w:r>
      <w:r w:rsidRPr="00630985">
        <w:rPr>
          <w:rFonts w:ascii="Calibri" w:hAnsi="Calibri" w:cs="Calibri"/>
          <w:sz w:val="22"/>
          <w:szCs w:val="22"/>
        </w:rPr>
        <w:t xml:space="preserve"> Schematic of an ion sensor based on GaN/AlGaN/GaN heterostructure;</w:t>
      </w:r>
      <w:r w:rsidR="00A82302">
        <w:rPr>
          <w:rFonts w:ascii="Calibri" w:hAnsi="Calibri" w:cs="Calibri"/>
          <w:sz w:val="22"/>
          <w:szCs w:val="22"/>
        </w:rPr>
        <w:t xml:space="preserve"> (b)</w:t>
      </w:r>
      <w:r w:rsidRPr="00630985">
        <w:rPr>
          <w:rFonts w:ascii="Calibri" w:hAnsi="Calibri" w:cs="Calibri"/>
          <w:sz w:val="22"/>
          <w:szCs w:val="22"/>
        </w:rPr>
        <w:t xml:space="preserve"> plot of the sensor conduct</w:t>
      </w:r>
      <w:r w:rsidR="002A5B69">
        <w:rPr>
          <w:rFonts w:ascii="Calibri" w:hAnsi="Calibri" w:cs="Calibri"/>
          <w:sz w:val="22"/>
          <w:szCs w:val="22"/>
        </w:rPr>
        <w:t>ance</w:t>
      </w:r>
      <w:r w:rsidRPr="00630985">
        <w:rPr>
          <w:rFonts w:ascii="Calibri" w:hAnsi="Calibri" w:cs="Calibri"/>
          <w:sz w:val="22"/>
          <w:szCs w:val="22"/>
        </w:rPr>
        <w:t xml:space="preserve"> vs. pH under </w:t>
      </w:r>
      <w:r w:rsidR="00A82302">
        <w:rPr>
          <w:rFonts w:ascii="Calibri" w:hAnsi="Calibri" w:cs="Calibri"/>
          <w:sz w:val="22"/>
          <w:szCs w:val="22"/>
        </w:rPr>
        <w:t>various conditions</w:t>
      </w:r>
      <w:r w:rsidRPr="00630985">
        <w:rPr>
          <w:rFonts w:ascii="Calibri" w:hAnsi="Calibri" w:cs="Calibri"/>
          <w:sz w:val="22"/>
          <w:szCs w:val="22"/>
        </w:rPr>
        <w:t>.</w:t>
      </w:r>
    </w:p>
    <w:p w14:paraId="744CDF6B" w14:textId="44240122" w:rsidR="00EE38E3" w:rsidRDefault="00EE38E3" w:rsidP="00DC0ABB">
      <w:pPr>
        <w:jc w:val="both"/>
        <w:rPr>
          <w:rFonts w:ascii="Calibri" w:hAnsi="Calibri" w:cs="Calibri"/>
          <w:sz w:val="22"/>
          <w:szCs w:val="22"/>
          <w:lang w:val="en-AU"/>
        </w:rPr>
      </w:pPr>
    </w:p>
    <w:p w14:paraId="344C5988" w14:textId="335194B7" w:rsidR="00EE38E3" w:rsidRPr="00EE38E3" w:rsidRDefault="00EE38E3" w:rsidP="00DC0ABB">
      <w:pPr>
        <w:jc w:val="both"/>
        <w:rPr>
          <w:rFonts w:ascii="Calibri" w:hAnsi="Calibri" w:cs="Calibri"/>
          <w:sz w:val="22"/>
          <w:szCs w:val="22"/>
          <w:lang w:val="en-AU" w:eastAsia="zh-CN"/>
        </w:rPr>
      </w:pPr>
      <w:r>
        <w:rPr>
          <w:rFonts w:ascii="Calibri" w:hAnsi="Calibri" w:cs="Calibri"/>
          <w:sz w:val="22"/>
          <w:szCs w:val="22"/>
          <w:vertAlign w:val="superscript"/>
          <w:lang w:val="en-AU" w:eastAsia="zh-CN"/>
        </w:rPr>
        <w:t>D</w:t>
      </w:r>
      <w:r w:rsidRPr="00DC736C">
        <w:rPr>
          <w:rFonts w:ascii="Calibri" w:hAnsi="Calibri" w:cs="Calibri"/>
          <w:sz w:val="22"/>
          <w:szCs w:val="22"/>
          <w:lang w:val="en-AU" w:eastAsia="zh-CN"/>
        </w:rPr>
        <w:t>jianan.wang@research.uwa.edu.au</w:t>
      </w:r>
      <w:r w:rsidR="005C0AD1">
        <w:rPr>
          <w:rFonts w:ascii="Calibri" w:hAnsi="Calibri" w:cs="Calibri"/>
          <w:sz w:val="22"/>
          <w:szCs w:val="22"/>
          <w:lang w:val="en-AU" w:eastAsia="zh-CN"/>
        </w:rPr>
        <w:t>.</w:t>
      </w:r>
    </w:p>
    <w:sectPr w:rsidR="00EE38E3" w:rsidRPr="00EE38E3" w:rsidSect="00DC0ABB">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57"/>
  <w:displayHorizontalDrawingGridEvery w:val="0"/>
  <w:displayVerticalDrawingGridEvery w:val="2"/>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BB"/>
    <w:rsid w:val="0004118E"/>
    <w:rsid w:val="00045573"/>
    <w:rsid w:val="00065D4F"/>
    <w:rsid w:val="00066D12"/>
    <w:rsid w:val="00074F88"/>
    <w:rsid w:val="000A132B"/>
    <w:rsid w:val="000B46E4"/>
    <w:rsid w:val="000C1FC4"/>
    <w:rsid w:val="00106C2B"/>
    <w:rsid w:val="00167B14"/>
    <w:rsid w:val="001A21AD"/>
    <w:rsid w:val="002078AD"/>
    <w:rsid w:val="002226BB"/>
    <w:rsid w:val="00225236"/>
    <w:rsid w:val="002272B0"/>
    <w:rsid w:val="00255EAC"/>
    <w:rsid w:val="002A5B69"/>
    <w:rsid w:val="002B0B93"/>
    <w:rsid w:val="00300B92"/>
    <w:rsid w:val="0030585E"/>
    <w:rsid w:val="00387491"/>
    <w:rsid w:val="003B4F76"/>
    <w:rsid w:val="004216CD"/>
    <w:rsid w:val="00483B05"/>
    <w:rsid w:val="004E28B9"/>
    <w:rsid w:val="004E5450"/>
    <w:rsid w:val="0055229D"/>
    <w:rsid w:val="00562D19"/>
    <w:rsid w:val="0059609A"/>
    <w:rsid w:val="00597659"/>
    <w:rsid w:val="005C0AD1"/>
    <w:rsid w:val="005E48A2"/>
    <w:rsid w:val="005E5F66"/>
    <w:rsid w:val="005F19FF"/>
    <w:rsid w:val="0060673A"/>
    <w:rsid w:val="00625305"/>
    <w:rsid w:val="00630985"/>
    <w:rsid w:val="00641190"/>
    <w:rsid w:val="00674F10"/>
    <w:rsid w:val="006B077B"/>
    <w:rsid w:val="006B3866"/>
    <w:rsid w:val="006C67EC"/>
    <w:rsid w:val="006F524C"/>
    <w:rsid w:val="00711813"/>
    <w:rsid w:val="00724E3C"/>
    <w:rsid w:val="00743C46"/>
    <w:rsid w:val="007621DF"/>
    <w:rsid w:val="007824B5"/>
    <w:rsid w:val="007D4B5F"/>
    <w:rsid w:val="007E3C0C"/>
    <w:rsid w:val="008909C9"/>
    <w:rsid w:val="008A29C8"/>
    <w:rsid w:val="0090737E"/>
    <w:rsid w:val="00922ECA"/>
    <w:rsid w:val="00931B91"/>
    <w:rsid w:val="00947B77"/>
    <w:rsid w:val="00962A91"/>
    <w:rsid w:val="009E2228"/>
    <w:rsid w:val="009E57BF"/>
    <w:rsid w:val="009F06D6"/>
    <w:rsid w:val="00A04009"/>
    <w:rsid w:val="00A266B4"/>
    <w:rsid w:val="00A82302"/>
    <w:rsid w:val="00AE02A3"/>
    <w:rsid w:val="00B2304A"/>
    <w:rsid w:val="00B550EC"/>
    <w:rsid w:val="00B95767"/>
    <w:rsid w:val="00BA4894"/>
    <w:rsid w:val="00BC5FCC"/>
    <w:rsid w:val="00BD0875"/>
    <w:rsid w:val="00BE3B7C"/>
    <w:rsid w:val="00C11323"/>
    <w:rsid w:val="00C13C69"/>
    <w:rsid w:val="00C60A71"/>
    <w:rsid w:val="00C610E3"/>
    <w:rsid w:val="00C72CEC"/>
    <w:rsid w:val="00CB279C"/>
    <w:rsid w:val="00CC165A"/>
    <w:rsid w:val="00CC5C25"/>
    <w:rsid w:val="00D24AD6"/>
    <w:rsid w:val="00D50D19"/>
    <w:rsid w:val="00D55F3B"/>
    <w:rsid w:val="00D866F0"/>
    <w:rsid w:val="00DA2731"/>
    <w:rsid w:val="00DC0ABB"/>
    <w:rsid w:val="00DF1C8E"/>
    <w:rsid w:val="00E15B24"/>
    <w:rsid w:val="00E92E91"/>
    <w:rsid w:val="00EE38E3"/>
    <w:rsid w:val="00EF12F3"/>
    <w:rsid w:val="00F1498A"/>
    <w:rsid w:val="00F21445"/>
    <w:rsid w:val="00F26BBE"/>
    <w:rsid w:val="00F61E1E"/>
    <w:rsid w:val="00F97620"/>
    <w:rsid w:val="00FC3D4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rPr>
  </w:style>
  <w:style w:type="paragraph" w:styleId="1">
    <w:name w:val="heading 1"/>
    <w:basedOn w:val="a"/>
    <w:next w:val="a"/>
    <w:qFormat/>
    <w:pPr>
      <w:keepNext/>
      <w:spacing w:before="240" w:after="60"/>
      <w:outlineLvl w:val="0"/>
    </w:pPr>
    <w:rPr>
      <w:b/>
      <w:kern w:val="28"/>
      <w:sz w:val="28"/>
      <w:szCs w:val="20"/>
    </w:rPr>
  </w:style>
  <w:style w:type="paragraph" w:styleId="3">
    <w:name w:val="heading 3"/>
    <w:basedOn w:val="a"/>
    <w:next w:val="a"/>
    <w:qFormat/>
    <w:pPr>
      <w:keepNext/>
      <w:spacing w:before="120" w:after="60"/>
      <w:jc w:val="center"/>
      <w:outlineLvl w:val="2"/>
    </w:pPr>
    <w:rPr>
      <w:b/>
      <w:caps/>
      <w:szCs w:val="20"/>
    </w:rPr>
  </w:style>
  <w:style w:type="paragraph" w:styleId="5">
    <w:name w:val="heading 5"/>
    <w:basedOn w:val="a"/>
    <w:next w:val="a"/>
    <w:link w:val="50"/>
    <w:uiPriority w:val="9"/>
    <w:qFormat/>
    <w:rsid w:val="00420F72"/>
    <w:pPr>
      <w:spacing w:before="240" w:after="60"/>
      <w:outlineLvl w:val="4"/>
    </w:pPr>
    <w:rPr>
      <w:rFonts w:ascii="Calibri" w:eastAsia="PMingLiU"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Indent 3"/>
    <w:basedOn w:val="a"/>
    <w:semiHidden/>
    <w:pPr>
      <w:spacing w:before="120" w:after="120"/>
      <w:ind w:left="-90"/>
      <w:jc w:val="center"/>
    </w:pPr>
    <w:rPr>
      <w:rFonts w:ascii="Times" w:hAnsi="Times"/>
      <w:szCs w:val="20"/>
    </w:rPr>
  </w:style>
  <w:style w:type="character" w:customStyle="1" w:styleId="50">
    <w:name w:val="标题 5 字符"/>
    <w:link w:val="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a3">
    <w:name w:val="Balloon Text"/>
    <w:basedOn w:val="a"/>
    <w:link w:val="a4"/>
    <w:uiPriority w:val="99"/>
    <w:semiHidden/>
    <w:unhideWhenUsed/>
    <w:rsid w:val="00826B31"/>
    <w:rPr>
      <w:rFonts w:ascii="Tahoma" w:hAnsi="Tahoma" w:cs="Tahoma"/>
      <w:sz w:val="16"/>
      <w:szCs w:val="16"/>
    </w:rPr>
  </w:style>
  <w:style w:type="character" w:customStyle="1" w:styleId="a4">
    <w:name w:val="批注框文本 字符"/>
    <w:link w:val="a3"/>
    <w:uiPriority w:val="99"/>
    <w:semiHidden/>
    <w:rsid w:val="00826B31"/>
    <w:rPr>
      <w:rFonts w:ascii="Tahoma" w:hAnsi="Tahoma" w:cs="Tahoma"/>
      <w:sz w:val="16"/>
      <w:szCs w:val="16"/>
      <w:lang w:val="en-US" w:eastAsia="en-US"/>
    </w:rPr>
  </w:style>
  <w:style w:type="character" w:styleId="a5">
    <w:name w:val="Strong"/>
    <w:uiPriority w:val="22"/>
    <w:qFormat/>
    <w:rsid w:val="00743C46"/>
    <w:rPr>
      <w:b/>
      <w:bCs/>
    </w:rPr>
  </w:style>
  <w:style w:type="character" w:styleId="a6">
    <w:name w:val="Hyperlink"/>
    <w:uiPriority w:val="99"/>
    <w:unhideWhenUsed/>
    <w:rsid w:val="00DC0ABB"/>
    <w:rPr>
      <w:color w:val="0563C1"/>
      <w:u w:val="single"/>
    </w:rPr>
  </w:style>
  <w:style w:type="character" w:customStyle="1" w:styleId="UnresolvedMention1">
    <w:name w:val="Unresolved Mention1"/>
    <w:uiPriority w:val="99"/>
    <w:semiHidden/>
    <w:unhideWhenUsed/>
    <w:rsid w:val="00DC0ABB"/>
    <w:rPr>
      <w:color w:val="605E5C"/>
      <w:shd w:val="clear" w:color="auto" w:fill="E1DFDD"/>
    </w:rPr>
  </w:style>
  <w:style w:type="character" w:styleId="a7">
    <w:name w:val="annotation reference"/>
    <w:basedOn w:val="a0"/>
    <w:uiPriority w:val="99"/>
    <w:semiHidden/>
    <w:unhideWhenUsed/>
    <w:rsid w:val="001A21AD"/>
    <w:rPr>
      <w:sz w:val="16"/>
      <w:szCs w:val="16"/>
    </w:rPr>
  </w:style>
  <w:style w:type="paragraph" w:styleId="a8">
    <w:name w:val="annotation text"/>
    <w:basedOn w:val="a"/>
    <w:link w:val="a9"/>
    <w:uiPriority w:val="99"/>
    <w:semiHidden/>
    <w:unhideWhenUsed/>
    <w:rsid w:val="001A21AD"/>
    <w:rPr>
      <w:sz w:val="20"/>
      <w:szCs w:val="20"/>
    </w:rPr>
  </w:style>
  <w:style w:type="character" w:customStyle="1" w:styleId="a9">
    <w:name w:val="批注文字 字符"/>
    <w:basedOn w:val="a0"/>
    <w:link w:val="a8"/>
    <w:uiPriority w:val="99"/>
    <w:semiHidden/>
    <w:rsid w:val="001A21AD"/>
    <w:rPr>
      <w:lang w:val="en-US"/>
    </w:rPr>
  </w:style>
  <w:style w:type="paragraph" w:styleId="aa">
    <w:name w:val="annotation subject"/>
    <w:basedOn w:val="a8"/>
    <w:next w:val="a8"/>
    <w:link w:val="ab"/>
    <w:uiPriority w:val="99"/>
    <w:semiHidden/>
    <w:unhideWhenUsed/>
    <w:rsid w:val="001A21AD"/>
    <w:rPr>
      <w:b/>
      <w:bCs/>
    </w:rPr>
  </w:style>
  <w:style w:type="character" w:customStyle="1" w:styleId="ab">
    <w:name w:val="批注主题 字符"/>
    <w:basedOn w:val="a9"/>
    <w:link w:val="aa"/>
    <w:uiPriority w:val="99"/>
    <w:semiHidden/>
    <w:rsid w:val="001A21AD"/>
    <w:rPr>
      <w:b/>
      <w:bCs/>
      <w:lang w:val="en-US"/>
    </w:rPr>
  </w:style>
  <w:style w:type="character" w:styleId="ac">
    <w:name w:val="Placeholder Text"/>
    <w:basedOn w:val="a0"/>
    <w:uiPriority w:val="99"/>
    <w:semiHidden/>
    <w:rsid w:val="00CB27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99312">
      <w:bodyDiv w:val="1"/>
      <w:marLeft w:val="0"/>
      <w:marRight w:val="0"/>
      <w:marTop w:val="0"/>
      <w:marBottom w:val="0"/>
      <w:divBdr>
        <w:top w:val="none" w:sz="0" w:space="0" w:color="auto"/>
        <w:left w:val="none" w:sz="0" w:space="0" w:color="auto"/>
        <w:bottom w:val="none" w:sz="0" w:space="0" w:color="auto"/>
        <w:right w:val="none" w:sz="0" w:space="0" w:color="auto"/>
      </w:divBdr>
    </w:div>
    <w:div w:id="1069618466">
      <w:bodyDiv w:val="1"/>
      <w:marLeft w:val="0"/>
      <w:marRight w:val="0"/>
      <w:marTop w:val="0"/>
      <w:marBottom w:val="0"/>
      <w:divBdr>
        <w:top w:val="none" w:sz="0" w:space="0" w:color="auto"/>
        <w:left w:val="none" w:sz="0" w:space="0" w:color="auto"/>
        <w:bottom w:val="none" w:sz="0" w:space="0" w:color="auto"/>
        <w:right w:val="none" w:sz="0" w:space="0" w:color="auto"/>
      </w:divBdr>
    </w:div>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1604997675">
      <w:bodyDiv w:val="1"/>
      <w:marLeft w:val="0"/>
      <w:marRight w:val="0"/>
      <w:marTop w:val="0"/>
      <w:marBottom w:val="0"/>
      <w:divBdr>
        <w:top w:val="none" w:sz="0" w:space="0" w:color="auto"/>
        <w:left w:val="none" w:sz="0" w:space="0" w:color="auto"/>
        <w:bottom w:val="none" w:sz="0" w:space="0" w:color="auto"/>
        <w:right w:val="none" w:sz="0" w:space="0" w:color="auto"/>
      </w:divBdr>
    </w:div>
    <w:div w:id="188648060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3242</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Tang Xiaolin</cp:lastModifiedBy>
  <cp:revision>6</cp:revision>
  <cp:lastPrinted>2013-06-13T05:15:00Z</cp:lastPrinted>
  <dcterms:created xsi:type="dcterms:W3CDTF">2019-08-15T16:42:00Z</dcterms:created>
  <dcterms:modified xsi:type="dcterms:W3CDTF">2019-08-19T05:22:00Z</dcterms:modified>
</cp:coreProperties>
</file>