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DED5" w14:textId="7053ED9D" w:rsidR="00483349" w:rsidRDefault="00765492" w:rsidP="00830742">
      <w:pPr>
        <w:spacing w:after="0" w:line="240" w:lineRule="auto"/>
        <w:rPr>
          <w:rFonts w:ascii="Arial" w:eastAsia="Calibri" w:hAnsi="Arial" w:cs="Calibri"/>
          <w:b/>
          <w:bCs/>
          <w:kern w:val="0"/>
          <w14:ligatures w14:val="none"/>
        </w:rPr>
      </w:pPr>
      <w:r w:rsidRPr="00765492">
        <w:rPr>
          <w:rFonts w:ascii="Arial" w:eastAsia="Calibri" w:hAnsi="Arial" w:cs="Calibri"/>
          <w:b/>
          <w:bCs/>
          <w:kern w:val="0"/>
          <w14:ligatures w14:val="none"/>
        </w:rPr>
        <w:t xml:space="preserve">Development of a 3Rs-Based Synovium-on-Chip Platform for </w:t>
      </w:r>
      <w:r w:rsidR="00B63E8A" w:rsidRPr="00765492">
        <w:rPr>
          <w:rFonts w:ascii="Arial" w:eastAsia="Calibri" w:hAnsi="Arial" w:cs="Calibri"/>
          <w:b/>
          <w:bCs/>
          <w:kern w:val="0"/>
          <w14:ligatures w14:val="none"/>
        </w:rPr>
        <w:t>Modelling</w:t>
      </w:r>
      <w:r w:rsidRPr="00765492">
        <w:rPr>
          <w:rFonts w:ascii="Arial" w:eastAsia="Calibri" w:hAnsi="Arial" w:cs="Calibri"/>
          <w:b/>
          <w:bCs/>
          <w:kern w:val="0"/>
          <w14:ligatures w14:val="none"/>
        </w:rPr>
        <w:t xml:space="preserve"> Rheumatoid Arthritis and Predicting Treatment Response</w:t>
      </w:r>
    </w:p>
    <w:p w14:paraId="36F82083" w14:textId="77777777" w:rsidR="00765492" w:rsidRPr="00C315D2" w:rsidRDefault="00765492" w:rsidP="00830742">
      <w:pPr>
        <w:spacing w:after="0" w:line="240" w:lineRule="auto"/>
        <w:rPr>
          <w:rFonts w:ascii="Arial" w:eastAsia="Calibri" w:hAnsi="Arial" w:cs="Calibri"/>
          <w:b/>
          <w:bCs/>
          <w:kern w:val="0"/>
          <w:lang w:val="en-US"/>
          <w14:ligatures w14:val="none"/>
        </w:rPr>
      </w:pPr>
    </w:p>
    <w:p w14:paraId="2C62805D" w14:textId="51263989" w:rsidR="00830742" w:rsidRPr="00B168FF" w:rsidRDefault="007E6167" w:rsidP="00830742">
      <w:pPr>
        <w:spacing w:after="0" w:line="240" w:lineRule="auto"/>
        <w:rPr>
          <w:rFonts w:ascii="Arial" w:eastAsia="Calibri" w:hAnsi="Arial" w:cs="Arial"/>
          <w:bCs/>
          <w:kern w:val="0"/>
          <w:sz w:val="20"/>
          <w:szCs w:val="20"/>
          <w:lang w:val="it-IT"/>
          <w14:ligatures w14:val="none"/>
        </w:rPr>
      </w:pPr>
      <w:r w:rsidRPr="00B168FF">
        <w:rPr>
          <w:rFonts w:ascii="Arial" w:eastAsia="Calibri" w:hAnsi="Arial" w:cs="Arial"/>
          <w:bCs/>
          <w:kern w:val="0"/>
          <w:sz w:val="20"/>
          <w:szCs w:val="20"/>
          <w:lang w:val="it-IT"/>
          <w14:ligatures w14:val="none"/>
        </w:rPr>
        <w:t>Thuy-Duong Nguyen</w:t>
      </w:r>
      <w:r w:rsidRPr="00B168FF">
        <w:rPr>
          <w:rFonts w:ascii="Arial" w:eastAsia="Calibri" w:hAnsi="Arial" w:cs="Arial"/>
          <w:bCs/>
          <w:kern w:val="0"/>
          <w:sz w:val="20"/>
          <w:szCs w:val="20"/>
          <w:vertAlign w:val="superscript"/>
          <w:lang w:val="it-IT"/>
          <w14:ligatures w14:val="none"/>
        </w:rPr>
        <w:t>1,2</w:t>
      </w:r>
      <w:r w:rsidRPr="00B168FF">
        <w:rPr>
          <w:rFonts w:ascii="Arial" w:eastAsia="Calibri" w:hAnsi="Arial" w:cs="Arial"/>
          <w:bCs/>
          <w:kern w:val="0"/>
          <w:sz w:val="20"/>
          <w:szCs w:val="20"/>
          <w:lang w:val="it-IT"/>
          <w14:ligatures w14:val="none"/>
        </w:rPr>
        <w:t xml:space="preserve">, </w:t>
      </w:r>
      <w:r w:rsidR="00830742" w:rsidRPr="00B168FF">
        <w:rPr>
          <w:rFonts w:ascii="Arial" w:eastAsia="Calibri" w:hAnsi="Arial" w:cs="Arial"/>
          <w:kern w:val="0"/>
          <w:sz w:val="20"/>
          <w:szCs w:val="20"/>
          <w:lang w:val="it-IT"/>
          <w14:ligatures w14:val="none"/>
        </w:rPr>
        <w:t>Hugo Abreu</w:t>
      </w:r>
      <w:r w:rsidR="00830742" w:rsidRPr="00B168FF">
        <w:rPr>
          <w:rFonts w:ascii="Arial" w:eastAsia="Calibri" w:hAnsi="Arial" w:cs="Arial"/>
          <w:kern w:val="0"/>
          <w:sz w:val="20"/>
          <w:szCs w:val="20"/>
          <w:vertAlign w:val="superscript"/>
          <w:lang w:val="it-IT"/>
          <w14:ligatures w14:val="none"/>
        </w:rPr>
        <w:t>1,2</w:t>
      </w:r>
      <w:r w:rsidR="00830742" w:rsidRPr="00B168FF">
        <w:rPr>
          <w:rFonts w:ascii="Arial" w:eastAsia="Calibri" w:hAnsi="Arial" w:cs="Arial"/>
          <w:bCs/>
          <w:kern w:val="0"/>
          <w:sz w:val="20"/>
          <w:szCs w:val="20"/>
          <w:lang w:val="it-IT"/>
          <w14:ligatures w14:val="none"/>
        </w:rPr>
        <w:t>, Fabiola Stolfi</w:t>
      </w:r>
      <w:r w:rsidR="00830742" w:rsidRPr="00B168FF">
        <w:rPr>
          <w:rFonts w:ascii="Arial" w:eastAsia="Calibri" w:hAnsi="Arial" w:cs="Arial"/>
          <w:bCs/>
          <w:kern w:val="0"/>
          <w:sz w:val="20"/>
          <w:szCs w:val="20"/>
          <w:vertAlign w:val="superscript"/>
          <w:lang w:val="it-IT"/>
          <w14:ligatures w14:val="none"/>
        </w:rPr>
        <w:t>1,2</w:t>
      </w:r>
      <w:r w:rsidR="00830742" w:rsidRPr="00B168FF">
        <w:rPr>
          <w:rFonts w:ascii="Arial" w:eastAsia="Calibri" w:hAnsi="Arial" w:cs="Arial"/>
          <w:bCs/>
          <w:kern w:val="0"/>
          <w:sz w:val="20"/>
          <w:szCs w:val="20"/>
          <w:lang w:val="it-IT"/>
          <w14:ligatures w14:val="none"/>
        </w:rPr>
        <w:t>, Francesco Bisconti</w:t>
      </w:r>
      <w:r w:rsidR="00830742" w:rsidRPr="00B168FF">
        <w:rPr>
          <w:rFonts w:ascii="Arial" w:eastAsia="Calibri" w:hAnsi="Arial" w:cs="Arial"/>
          <w:bCs/>
          <w:kern w:val="0"/>
          <w:sz w:val="20"/>
          <w:szCs w:val="20"/>
          <w:vertAlign w:val="superscript"/>
          <w:lang w:val="it-IT"/>
          <w14:ligatures w14:val="none"/>
        </w:rPr>
        <w:t>3</w:t>
      </w:r>
      <w:r w:rsidR="00830742" w:rsidRPr="00B168FF">
        <w:rPr>
          <w:rFonts w:ascii="Arial" w:eastAsia="Calibri" w:hAnsi="Arial" w:cs="Arial"/>
          <w:bCs/>
          <w:kern w:val="0"/>
          <w:sz w:val="20"/>
          <w:szCs w:val="20"/>
          <w:lang w:val="it-IT"/>
          <w14:ligatures w14:val="none"/>
        </w:rPr>
        <w:t>, Alessandro Polini</w:t>
      </w:r>
      <w:r w:rsidR="00830742" w:rsidRPr="00B168FF">
        <w:rPr>
          <w:rFonts w:ascii="Arial" w:eastAsia="Calibri" w:hAnsi="Arial" w:cs="Arial"/>
          <w:bCs/>
          <w:kern w:val="0"/>
          <w:sz w:val="20"/>
          <w:szCs w:val="20"/>
          <w:vertAlign w:val="superscript"/>
          <w:lang w:val="it-IT"/>
          <w14:ligatures w14:val="none"/>
        </w:rPr>
        <w:t>3</w:t>
      </w:r>
      <w:r w:rsidR="00830742" w:rsidRPr="00B168FF">
        <w:rPr>
          <w:rFonts w:ascii="Arial" w:eastAsia="Calibri" w:hAnsi="Arial" w:cs="Arial"/>
          <w:bCs/>
          <w:kern w:val="0"/>
          <w:sz w:val="20"/>
          <w:szCs w:val="20"/>
          <w:lang w:val="it-IT"/>
          <w14:ligatures w14:val="none"/>
        </w:rPr>
        <w:t>, Francesca Gervaso</w:t>
      </w:r>
      <w:r w:rsidR="00830742" w:rsidRPr="00B168FF">
        <w:rPr>
          <w:rFonts w:ascii="Arial" w:eastAsia="Calibri" w:hAnsi="Arial" w:cs="Arial"/>
          <w:bCs/>
          <w:kern w:val="0"/>
          <w:sz w:val="20"/>
          <w:szCs w:val="20"/>
          <w:vertAlign w:val="superscript"/>
          <w:lang w:val="it-IT"/>
          <w14:ligatures w14:val="none"/>
        </w:rPr>
        <w:t>3</w:t>
      </w:r>
      <w:r w:rsidR="00830742" w:rsidRPr="00B168FF">
        <w:rPr>
          <w:rFonts w:ascii="Arial" w:eastAsia="Calibri" w:hAnsi="Arial" w:cs="Arial"/>
          <w:bCs/>
          <w:kern w:val="0"/>
          <w:sz w:val="20"/>
          <w:szCs w:val="20"/>
          <w:lang w:val="it-IT"/>
          <w14:ligatures w14:val="none"/>
        </w:rPr>
        <w:t xml:space="preserve">, </w:t>
      </w:r>
      <w:r w:rsidR="00830742" w:rsidRPr="00B168FF">
        <w:rPr>
          <w:rFonts w:ascii="Arial" w:eastAsia="Calibri" w:hAnsi="Arial" w:cs="Arial"/>
          <w:b/>
          <w:bCs/>
          <w:kern w:val="0"/>
          <w:sz w:val="20"/>
          <w:szCs w:val="20"/>
          <w:u w:val="single"/>
          <w:lang w:val="it-IT"/>
          <w14:ligatures w14:val="none"/>
        </w:rPr>
        <w:t>Annalisa Chiocchetti</w:t>
      </w:r>
      <w:r w:rsidR="00830742" w:rsidRPr="00B168FF">
        <w:rPr>
          <w:rFonts w:ascii="Arial" w:eastAsia="Calibri" w:hAnsi="Arial" w:cs="Arial"/>
          <w:b/>
          <w:bCs/>
          <w:kern w:val="0"/>
          <w:sz w:val="20"/>
          <w:szCs w:val="20"/>
          <w:vertAlign w:val="superscript"/>
          <w:lang w:val="it-IT"/>
          <w14:ligatures w14:val="none"/>
        </w:rPr>
        <w:t>1,2</w:t>
      </w:r>
      <w:r w:rsidR="00830742" w:rsidRPr="00B168FF">
        <w:rPr>
          <w:rFonts w:ascii="Arial" w:eastAsia="Calibri" w:hAnsi="Arial" w:cs="Arial"/>
          <w:bCs/>
          <w:kern w:val="0"/>
          <w:sz w:val="20"/>
          <w:szCs w:val="20"/>
          <w:lang w:val="it-IT"/>
          <w14:ligatures w14:val="none"/>
        </w:rPr>
        <w:t xml:space="preserve"> </w:t>
      </w:r>
    </w:p>
    <w:p w14:paraId="59E34188" w14:textId="747023B5" w:rsidR="00830742" w:rsidRPr="00864F2D" w:rsidRDefault="00864F2D" w:rsidP="00830742">
      <w:pPr>
        <w:spacing w:after="0" w:line="240" w:lineRule="auto"/>
        <w:rPr>
          <w:rFonts w:ascii="Arial" w:eastAsia="Calibri" w:hAnsi="Arial" w:cs="Arial"/>
          <w:bCs/>
          <w:kern w:val="0"/>
          <w:sz w:val="18"/>
          <w:szCs w:val="18"/>
          <w:lang w:val="it-IT"/>
          <w14:ligatures w14:val="none"/>
        </w:rPr>
      </w:pPr>
      <w:r w:rsidRPr="00864F2D">
        <w:rPr>
          <w:rFonts w:ascii="Arial" w:eastAsia="Calibri" w:hAnsi="Arial" w:cs="Arial"/>
          <w:bCs/>
          <w:kern w:val="0"/>
          <w:sz w:val="18"/>
          <w:szCs w:val="18"/>
          <w:vertAlign w:val="superscript"/>
          <w:lang w:val="it-IT"/>
          <w14:ligatures w14:val="none"/>
        </w:rPr>
        <w:t>1</w:t>
      </w:r>
      <w:r w:rsidR="00830742" w:rsidRPr="00864F2D">
        <w:rPr>
          <w:rFonts w:ascii="Arial" w:eastAsia="Calibri" w:hAnsi="Arial" w:cs="Arial"/>
          <w:bCs/>
          <w:kern w:val="0"/>
          <w:sz w:val="18"/>
          <w:szCs w:val="18"/>
          <w:lang w:val="it-IT"/>
          <w14:ligatures w14:val="none"/>
        </w:rPr>
        <w:t>Department of Health Sciences, Interdisciplinary Research Center of Autoimmune Diseases-IRCAD</w:t>
      </w:r>
      <w:r w:rsidR="00830742" w:rsidRPr="00864F2D">
        <w:rPr>
          <w:rFonts w:ascii="Arial" w:eastAsia="Calibri" w:hAnsi="Arial" w:cs="Arial"/>
          <w:bCs/>
          <w:kern w:val="0"/>
          <w:sz w:val="18"/>
          <w:szCs w:val="18"/>
          <w:vertAlign w:val="superscript"/>
          <w:lang w:val="it-IT"/>
          <w14:ligatures w14:val="none"/>
        </w:rPr>
        <w:t>1</w:t>
      </w:r>
      <w:r w:rsidR="00830742" w:rsidRPr="00864F2D">
        <w:rPr>
          <w:rFonts w:ascii="Arial" w:eastAsia="Calibri" w:hAnsi="Arial" w:cs="Arial"/>
          <w:bCs/>
          <w:kern w:val="0"/>
          <w:sz w:val="18"/>
          <w:szCs w:val="18"/>
          <w:lang w:val="it-IT"/>
          <w14:ligatures w14:val="none"/>
        </w:rPr>
        <w:t>, Università del Piemonte Orientale, Novara, Italy;</w:t>
      </w:r>
    </w:p>
    <w:p w14:paraId="7E55DEC3" w14:textId="0D16DF80" w:rsidR="00830742" w:rsidRPr="00864F2D" w:rsidRDefault="00864F2D" w:rsidP="00830742">
      <w:pPr>
        <w:spacing w:after="0" w:line="240" w:lineRule="auto"/>
        <w:rPr>
          <w:rFonts w:ascii="Arial" w:eastAsia="Calibri" w:hAnsi="Arial" w:cs="Arial"/>
          <w:bCs/>
          <w:kern w:val="0"/>
          <w:sz w:val="18"/>
          <w:szCs w:val="18"/>
          <w:lang w:val="it-IT"/>
          <w14:ligatures w14:val="none"/>
        </w:rPr>
      </w:pPr>
      <w:r w:rsidRPr="00864F2D">
        <w:rPr>
          <w:rFonts w:ascii="Arial" w:eastAsia="Calibri" w:hAnsi="Arial" w:cs="Arial"/>
          <w:bCs/>
          <w:kern w:val="0"/>
          <w:sz w:val="18"/>
          <w:szCs w:val="18"/>
          <w:vertAlign w:val="superscript"/>
          <w:lang w:val="it-IT"/>
          <w14:ligatures w14:val="none"/>
        </w:rPr>
        <w:t>2</w:t>
      </w:r>
      <w:r w:rsidR="00830742" w:rsidRPr="00864F2D">
        <w:rPr>
          <w:rFonts w:ascii="Arial" w:eastAsia="Calibri" w:hAnsi="Arial" w:cs="Arial"/>
          <w:bCs/>
          <w:kern w:val="0"/>
          <w:sz w:val="18"/>
          <w:szCs w:val="18"/>
          <w:lang w:val="it-IT"/>
          <w14:ligatures w14:val="none"/>
        </w:rPr>
        <w:t>Center for Translational Research on Autoimmune and Allergic Diseases-CAAD</w:t>
      </w:r>
      <w:r w:rsidR="00830742" w:rsidRPr="00864F2D">
        <w:rPr>
          <w:rFonts w:ascii="Arial" w:eastAsia="Calibri" w:hAnsi="Arial" w:cs="Arial"/>
          <w:bCs/>
          <w:kern w:val="0"/>
          <w:sz w:val="18"/>
          <w:szCs w:val="18"/>
          <w:vertAlign w:val="superscript"/>
          <w:lang w:val="it-IT"/>
          <w14:ligatures w14:val="none"/>
        </w:rPr>
        <w:t>2</w:t>
      </w:r>
      <w:r w:rsidR="00830742" w:rsidRPr="00864F2D">
        <w:rPr>
          <w:rFonts w:ascii="Arial" w:hAnsi="Arial" w:cs="Arial"/>
          <w:bCs/>
          <w:kern w:val="0"/>
          <w:sz w:val="18"/>
          <w:szCs w:val="18"/>
          <w:lang w:val="it-IT"/>
          <w14:ligatures w14:val="none"/>
        </w:rPr>
        <w:t xml:space="preserve">, </w:t>
      </w:r>
      <w:r w:rsidR="00830742" w:rsidRPr="00864F2D">
        <w:rPr>
          <w:rFonts w:ascii="Arial" w:eastAsia="Calibri" w:hAnsi="Arial" w:cs="Arial"/>
          <w:bCs/>
          <w:kern w:val="0"/>
          <w:sz w:val="18"/>
          <w:szCs w:val="18"/>
          <w:lang w:val="it-IT"/>
          <w14:ligatures w14:val="none"/>
        </w:rPr>
        <w:t>Università del Piemonte Orientale, Novara, Italy;</w:t>
      </w:r>
    </w:p>
    <w:p w14:paraId="4A674429" w14:textId="4188F802" w:rsidR="00B168FF" w:rsidRPr="00864F2D" w:rsidRDefault="00864F2D" w:rsidP="00830742">
      <w:pPr>
        <w:spacing w:after="0" w:line="240" w:lineRule="auto"/>
        <w:rPr>
          <w:rFonts w:ascii="Arial" w:eastAsia="Calibri" w:hAnsi="Arial" w:cs="Arial"/>
          <w:bCs/>
          <w:kern w:val="0"/>
          <w:sz w:val="18"/>
          <w:szCs w:val="18"/>
          <w14:ligatures w14:val="none"/>
        </w:rPr>
      </w:pPr>
      <w:r w:rsidRPr="00864F2D">
        <w:rPr>
          <w:rFonts w:ascii="Arial" w:eastAsia="Calibri" w:hAnsi="Arial" w:cs="Arial"/>
          <w:bCs/>
          <w:kern w:val="0"/>
          <w:sz w:val="18"/>
          <w:szCs w:val="18"/>
          <w:vertAlign w:val="superscript"/>
          <w:lang w:val="en-US"/>
          <w14:ligatures w14:val="none"/>
        </w:rPr>
        <w:t>3</w:t>
      </w:r>
      <w:r w:rsidR="00B168FF" w:rsidRPr="00864F2D">
        <w:rPr>
          <w:rFonts w:ascii="Arial" w:eastAsia="Calibri" w:hAnsi="Arial" w:cs="Arial"/>
          <w:bCs/>
          <w:kern w:val="0"/>
          <w:sz w:val="18"/>
          <w:szCs w:val="18"/>
          <w:lang w:val="en-US"/>
          <w14:ligatures w14:val="none"/>
        </w:rPr>
        <w:t>CNR NANOTEC - Institute of Nanotechnology</w:t>
      </w:r>
      <w:r w:rsidR="00B168FF" w:rsidRPr="00864F2D">
        <w:rPr>
          <w:rFonts w:ascii="Arial" w:eastAsia="Calibri" w:hAnsi="Arial" w:cs="Arial"/>
          <w:bCs/>
          <w:kern w:val="0"/>
          <w:sz w:val="18"/>
          <w:szCs w:val="18"/>
          <w:vertAlign w:val="superscript"/>
          <w:lang w:val="en-US"/>
          <w14:ligatures w14:val="none"/>
        </w:rPr>
        <w:t>3</w:t>
      </w:r>
      <w:r w:rsidR="00B168FF" w:rsidRPr="00864F2D">
        <w:rPr>
          <w:rFonts w:ascii="Arial" w:eastAsia="Calibri" w:hAnsi="Arial" w:cs="Arial"/>
          <w:bCs/>
          <w:kern w:val="0"/>
          <w:sz w:val="18"/>
          <w:szCs w:val="18"/>
          <w:lang w:val="en-US"/>
          <w14:ligatures w14:val="none"/>
        </w:rPr>
        <w:t>, Campus Ecotekne, Lecce, Italy.</w:t>
      </w:r>
    </w:p>
    <w:p w14:paraId="02D3A0F3" w14:textId="40B6E2F9" w:rsidR="00830742" w:rsidRDefault="00830742" w:rsidP="00C315D2">
      <w:pPr>
        <w:jc w:val="both"/>
        <w:rPr>
          <w:rFonts w:ascii="Arial" w:eastAsia="Calibri" w:hAnsi="Arial" w:cs="Calibri"/>
          <w:bCs/>
          <w:kern w:val="0"/>
          <w:sz w:val="20"/>
          <w:szCs w:val="20"/>
          <w14:ligatures w14:val="none"/>
        </w:rPr>
      </w:pPr>
    </w:p>
    <w:p w14:paraId="27365E2C" w14:textId="77777777" w:rsidR="00864F2D" w:rsidRDefault="00864F2D" w:rsidP="00864F2D">
      <w:pPr>
        <w:spacing w:after="0"/>
        <w:jc w:val="both"/>
        <w:rPr>
          <w:rFonts w:ascii="Arial" w:eastAsia="Calibri" w:hAnsi="Arial" w:cs="Calibri"/>
          <w:b/>
          <w:bCs/>
          <w:kern w:val="0"/>
          <w:sz w:val="20"/>
          <w:szCs w:val="20"/>
          <w:lang w:val="en-US"/>
          <w14:ligatures w14:val="none"/>
        </w:rPr>
      </w:pPr>
      <w:r w:rsidRPr="00864F2D">
        <w:rPr>
          <w:rFonts w:ascii="Arial" w:eastAsia="Calibri" w:hAnsi="Arial" w:cs="Calibri"/>
          <w:b/>
          <w:bCs/>
          <w:kern w:val="0"/>
          <w:sz w:val="20"/>
          <w:szCs w:val="20"/>
          <w:lang w:val="en-US"/>
          <w14:ligatures w14:val="none"/>
        </w:rPr>
        <w:t>Background and Aims</w:t>
      </w:r>
    </w:p>
    <w:p w14:paraId="4C376B04" w14:textId="6BC784A4" w:rsidR="00864F2D" w:rsidRPr="00864F2D" w:rsidRDefault="00864F2D" w:rsidP="00864F2D">
      <w:pPr>
        <w:spacing w:after="0"/>
        <w:jc w:val="both"/>
        <w:rPr>
          <w:rFonts w:ascii="Arial" w:eastAsia="Calibri" w:hAnsi="Arial" w:cs="Calibri"/>
          <w:bCs/>
          <w:kern w:val="0"/>
          <w:sz w:val="20"/>
          <w:szCs w:val="20"/>
          <w:lang w:val="en-US"/>
          <w14:ligatures w14:val="none"/>
        </w:rPr>
      </w:pPr>
      <w:r w:rsidRPr="00864F2D">
        <w:rPr>
          <w:rFonts w:ascii="Arial" w:eastAsia="Calibri" w:hAnsi="Arial" w:cs="Calibri"/>
          <w:bCs/>
          <w:kern w:val="0"/>
          <w:sz w:val="20"/>
          <w:szCs w:val="20"/>
          <w:lang w:val="en-US"/>
          <w14:ligatures w14:val="none"/>
        </w:rPr>
        <w:t xml:space="preserve">Rheumatoid arthritis (RA) is a chronic autoimmune disease primarily affecting the synovial joints, with a global prevalence of ~0.5–1%. Despite numerous therapeutic options, over 40% of patients experience long-term disability due to the absence of predictive tools for treatment response. To address this gap, we developed a </w:t>
      </w:r>
      <w:r w:rsidRPr="00864F2D">
        <w:rPr>
          <w:rFonts w:ascii="Arial" w:eastAsia="Calibri" w:hAnsi="Arial" w:cs="Calibri"/>
          <w:b/>
          <w:bCs/>
          <w:kern w:val="0"/>
          <w:sz w:val="20"/>
          <w:szCs w:val="20"/>
          <w:lang w:val="en-US"/>
          <w14:ligatures w14:val="none"/>
        </w:rPr>
        <w:t>patient-specific synovium-on-chip (SoC)</w:t>
      </w:r>
      <w:r w:rsidRPr="00864F2D">
        <w:rPr>
          <w:rFonts w:ascii="Arial" w:eastAsia="Calibri" w:hAnsi="Arial" w:cs="Calibri"/>
          <w:bCs/>
          <w:kern w:val="0"/>
          <w:sz w:val="20"/>
          <w:szCs w:val="20"/>
          <w:lang w:val="en-US"/>
          <w14:ligatures w14:val="none"/>
        </w:rPr>
        <w:t xml:space="preserve"> platform using RA cells from minimally invasive biopsies. This 3Rs-compliant model enables personalized clinical trials-on-chip to predict drug efficacy.</w:t>
      </w:r>
    </w:p>
    <w:p w14:paraId="1A4E968F" w14:textId="77777777" w:rsidR="00864F2D" w:rsidRDefault="00864F2D" w:rsidP="00864F2D">
      <w:pPr>
        <w:spacing w:after="0"/>
        <w:jc w:val="both"/>
        <w:rPr>
          <w:rFonts w:ascii="Arial" w:eastAsia="Calibri" w:hAnsi="Arial" w:cs="Calibri"/>
          <w:b/>
          <w:bCs/>
          <w:kern w:val="0"/>
          <w:sz w:val="20"/>
          <w:szCs w:val="20"/>
          <w:lang w:val="en-US"/>
          <w14:ligatures w14:val="none"/>
        </w:rPr>
      </w:pPr>
      <w:r w:rsidRPr="00864F2D">
        <w:rPr>
          <w:rFonts w:ascii="Arial" w:eastAsia="Calibri" w:hAnsi="Arial" w:cs="Calibri"/>
          <w:b/>
          <w:bCs/>
          <w:kern w:val="0"/>
          <w:sz w:val="20"/>
          <w:szCs w:val="20"/>
          <w:lang w:val="en-US"/>
          <w14:ligatures w14:val="none"/>
        </w:rPr>
        <w:t>Methods</w:t>
      </w:r>
    </w:p>
    <w:p w14:paraId="0511657A" w14:textId="177855CC" w:rsidR="00864F2D" w:rsidRPr="00864F2D" w:rsidRDefault="00864F2D" w:rsidP="00864F2D">
      <w:pPr>
        <w:spacing w:after="0"/>
        <w:jc w:val="both"/>
        <w:rPr>
          <w:rFonts w:ascii="Arial" w:eastAsia="Calibri" w:hAnsi="Arial" w:cs="Calibri"/>
          <w:bCs/>
          <w:kern w:val="0"/>
          <w:sz w:val="20"/>
          <w:szCs w:val="20"/>
          <w:lang w:val="en-US"/>
          <w14:ligatures w14:val="none"/>
        </w:rPr>
      </w:pPr>
      <w:r w:rsidRPr="00864F2D">
        <w:rPr>
          <w:rFonts w:ascii="Arial" w:eastAsia="Calibri" w:hAnsi="Arial" w:cs="Calibri"/>
          <w:bCs/>
          <w:kern w:val="0"/>
          <w:sz w:val="20"/>
          <w:szCs w:val="20"/>
          <w:lang w:val="en-US"/>
          <w14:ligatures w14:val="none"/>
        </w:rPr>
        <w:t>A 3D microfluidic platform was designed to host autologous, leukocyte-infiltrated synovial microtissues embedded in 5% Gelatin Methacrylate (GelMA). The chip integrates a pressure-driven actuator to mimic joint loading. Synovial and blood-derived RA cells were encapsulated and bioprinted, then cultured under inflammatory conditions (IL-6, TNF-</w:t>
      </w:r>
      <w:r w:rsidRPr="00864F2D">
        <w:rPr>
          <w:rFonts w:ascii="Arial" w:eastAsia="Calibri" w:hAnsi="Arial" w:cs="Calibri"/>
          <w:bCs/>
          <w:kern w:val="0"/>
          <w:sz w:val="20"/>
          <w:szCs w:val="20"/>
          <w:lang w:val="it-IT"/>
          <w14:ligatures w14:val="none"/>
        </w:rPr>
        <w:t>α</w:t>
      </w:r>
      <w:r w:rsidRPr="00864F2D">
        <w:rPr>
          <w:rFonts w:ascii="Arial" w:eastAsia="Calibri" w:hAnsi="Arial" w:cs="Calibri"/>
          <w:bCs/>
          <w:kern w:val="0"/>
          <w:sz w:val="20"/>
          <w:szCs w:val="20"/>
          <w:lang w:val="en-US"/>
          <w14:ligatures w14:val="none"/>
        </w:rPr>
        <w:t>, IL-1</w:t>
      </w:r>
      <w:r w:rsidRPr="00864F2D">
        <w:rPr>
          <w:rFonts w:ascii="Arial" w:eastAsia="Calibri" w:hAnsi="Arial" w:cs="Calibri"/>
          <w:bCs/>
          <w:kern w:val="0"/>
          <w:sz w:val="20"/>
          <w:szCs w:val="20"/>
          <w:lang w:val="it-IT"/>
          <w14:ligatures w14:val="none"/>
        </w:rPr>
        <w:t>β</w:t>
      </w:r>
      <w:r w:rsidRPr="00864F2D">
        <w:rPr>
          <w:rFonts w:ascii="Arial" w:eastAsia="Calibri" w:hAnsi="Arial" w:cs="Calibri"/>
          <w:bCs/>
          <w:kern w:val="0"/>
          <w:sz w:val="20"/>
          <w:szCs w:val="20"/>
          <w:lang w:val="en-US"/>
          <w14:ligatures w14:val="none"/>
        </w:rPr>
        <w:t xml:space="preserve"> at 10 </w:t>
      </w:r>
      <w:r w:rsidRPr="00864F2D">
        <w:rPr>
          <w:rFonts w:ascii="Arial" w:eastAsia="Calibri" w:hAnsi="Arial" w:cs="Calibri"/>
          <w:bCs/>
          <w:kern w:val="0"/>
          <w:sz w:val="20"/>
          <w:szCs w:val="20"/>
          <w:lang w:val="it-IT"/>
          <w14:ligatures w14:val="none"/>
        </w:rPr>
        <w:t>μ</w:t>
      </w:r>
      <w:r w:rsidRPr="00864F2D">
        <w:rPr>
          <w:rFonts w:ascii="Arial" w:eastAsia="Calibri" w:hAnsi="Arial" w:cs="Calibri"/>
          <w:bCs/>
          <w:kern w:val="0"/>
          <w:sz w:val="20"/>
          <w:szCs w:val="20"/>
          <w:lang w:val="en-US"/>
          <w14:ligatures w14:val="none"/>
        </w:rPr>
        <w:t>g/mL). Drug testing included methotrexate and anti-TNF-</w:t>
      </w:r>
      <w:r w:rsidRPr="00864F2D">
        <w:rPr>
          <w:rFonts w:ascii="Arial" w:eastAsia="Calibri" w:hAnsi="Arial" w:cs="Calibri"/>
          <w:bCs/>
          <w:kern w:val="0"/>
          <w:sz w:val="20"/>
          <w:szCs w:val="20"/>
          <w:lang w:val="it-IT"/>
          <w14:ligatures w14:val="none"/>
        </w:rPr>
        <w:t>α</w:t>
      </w:r>
      <w:r w:rsidRPr="00864F2D">
        <w:rPr>
          <w:rFonts w:ascii="Arial" w:eastAsia="Calibri" w:hAnsi="Arial" w:cs="Calibri"/>
          <w:bCs/>
          <w:kern w:val="0"/>
          <w:sz w:val="20"/>
          <w:szCs w:val="20"/>
          <w:lang w:val="en-US"/>
          <w14:ligatures w14:val="none"/>
        </w:rPr>
        <w:t>. We assessed viability, proliferation, phenotype, lubricin production, cytokine and extracellular vesicle (EV) secretion, and single-cell transcriptomics and proteomics.</w:t>
      </w:r>
    </w:p>
    <w:p w14:paraId="3759A6D5" w14:textId="77777777" w:rsidR="00864F2D" w:rsidRDefault="00864F2D" w:rsidP="00864F2D">
      <w:pPr>
        <w:spacing w:after="0"/>
        <w:jc w:val="both"/>
        <w:rPr>
          <w:rFonts w:ascii="Arial" w:eastAsia="Calibri" w:hAnsi="Arial" w:cs="Calibri"/>
          <w:b/>
          <w:bCs/>
          <w:kern w:val="0"/>
          <w:sz w:val="20"/>
          <w:szCs w:val="20"/>
          <w:lang w:val="en-US"/>
          <w14:ligatures w14:val="none"/>
        </w:rPr>
      </w:pPr>
      <w:r w:rsidRPr="00864F2D">
        <w:rPr>
          <w:rFonts w:ascii="Arial" w:eastAsia="Calibri" w:hAnsi="Arial" w:cs="Calibri"/>
          <w:b/>
          <w:bCs/>
          <w:kern w:val="0"/>
          <w:sz w:val="20"/>
          <w:szCs w:val="20"/>
          <w:lang w:val="en-US"/>
          <w14:ligatures w14:val="none"/>
        </w:rPr>
        <w:t>Results</w:t>
      </w:r>
    </w:p>
    <w:p w14:paraId="076EB7D0" w14:textId="44314D17" w:rsidR="00864F2D" w:rsidRPr="00864F2D" w:rsidRDefault="00864F2D" w:rsidP="00864F2D">
      <w:pPr>
        <w:spacing w:after="0"/>
        <w:jc w:val="both"/>
        <w:rPr>
          <w:rFonts w:ascii="Arial" w:eastAsia="Calibri" w:hAnsi="Arial" w:cs="Calibri"/>
          <w:bCs/>
          <w:kern w:val="0"/>
          <w:sz w:val="20"/>
          <w:szCs w:val="20"/>
          <w:lang w:val="en-US"/>
          <w14:ligatures w14:val="none"/>
        </w:rPr>
      </w:pPr>
      <w:r w:rsidRPr="00864F2D">
        <w:rPr>
          <w:rFonts w:ascii="Arial" w:eastAsia="Calibri" w:hAnsi="Arial" w:cs="Calibri"/>
          <w:bCs/>
          <w:kern w:val="0"/>
          <w:sz w:val="20"/>
          <w:szCs w:val="20"/>
          <w:lang w:val="en-US"/>
          <w14:ligatures w14:val="none"/>
        </w:rPr>
        <w:t>The SoC supported the formation of viable 3D microtissues replicating key RA features. Fibroblast-like synoviocytes (FLS) differentiated into lining and sublining phenotypes depending on spatial distribution. Mechanical stress upregulated lubricin secretion, while inflammation suppressed it. The platform allowed patient-specific drug testing, revealing donor-dependent cytokine modulation. Multiplex cytokine analysis and Principal Component Analysis (PCA) highlighted inter-individual variability in response to methotrexate and anti-TNF-</w:t>
      </w:r>
      <w:r w:rsidRPr="00864F2D">
        <w:rPr>
          <w:rFonts w:ascii="Arial" w:eastAsia="Calibri" w:hAnsi="Arial" w:cs="Calibri"/>
          <w:bCs/>
          <w:kern w:val="0"/>
          <w:sz w:val="20"/>
          <w:szCs w:val="20"/>
          <w:lang w:val="it-IT"/>
          <w14:ligatures w14:val="none"/>
        </w:rPr>
        <w:t>α</w:t>
      </w:r>
      <w:r w:rsidRPr="00864F2D">
        <w:rPr>
          <w:rFonts w:ascii="Arial" w:eastAsia="Calibri" w:hAnsi="Arial" w:cs="Calibri"/>
          <w:bCs/>
          <w:kern w:val="0"/>
          <w:sz w:val="20"/>
          <w:szCs w:val="20"/>
          <w:lang w:val="en-US"/>
          <w14:ligatures w14:val="none"/>
        </w:rPr>
        <w:t>, supporting predictive capacity.</w:t>
      </w:r>
    </w:p>
    <w:p w14:paraId="7B2924A7" w14:textId="77777777" w:rsidR="00864F2D" w:rsidRDefault="00864F2D" w:rsidP="00864F2D">
      <w:pPr>
        <w:spacing w:after="0"/>
        <w:jc w:val="both"/>
        <w:rPr>
          <w:rFonts w:ascii="Arial" w:eastAsia="Calibri" w:hAnsi="Arial" w:cs="Calibri"/>
          <w:b/>
          <w:bCs/>
          <w:kern w:val="0"/>
          <w:sz w:val="20"/>
          <w:szCs w:val="20"/>
          <w:lang w:val="en-US"/>
          <w14:ligatures w14:val="none"/>
        </w:rPr>
      </w:pPr>
      <w:r w:rsidRPr="00864F2D">
        <w:rPr>
          <w:rFonts w:ascii="Arial" w:eastAsia="Calibri" w:hAnsi="Arial" w:cs="Calibri"/>
          <w:b/>
          <w:bCs/>
          <w:kern w:val="0"/>
          <w:sz w:val="20"/>
          <w:szCs w:val="20"/>
          <w:lang w:val="en-US"/>
          <w14:ligatures w14:val="none"/>
        </w:rPr>
        <w:t>Conclusion</w:t>
      </w:r>
    </w:p>
    <w:p w14:paraId="3D8E6CC5" w14:textId="1A8BAAEE" w:rsidR="00864F2D" w:rsidRPr="00864F2D" w:rsidRDefault="00864F2D" w:rsidP="00864F2D">
      <w:pPr>
        <w:jc w:val="both"/>
        <w:rPr>
          <w:rFonts w:ascii="Arial" w:eastAsia="Calibri" w:hAnsi="Arial" w:cs="Calibri"/>
          <w:bCs/>
          <w:kern w:val="0"/>
          <w:sz w:val="20"/>
          <w:szCs w:val="20"/>
          <w:lang w:val="en-US"/>
          <w14:ligatures w14:val="none"/>
        </w:rPr>
      </w:pPr>
      <w:r w:rsidRPr="00864F2D">
        <w:rPr>
          <w:rFonts w:ascii="Arial" w:eastAsia="Calibri" w:hAnsi="Arial" w:cs="Calibri"/>
          <w:bCs/>
          <w:kern w:val="0"/>
          <w:sz w:val="20"/>
          <w:szCs w:val="20"/>
          <w:lang w:val="en-US"/>
          <w14:ligatures w14:val="none"/>
        </w:rPr>
        <w:t>This autologous human SoC replicates essential aspects of RA pathophysiology and drug response. It enables rapid, personalized in vitro testing, reduces reliance on animal models, and supports the identification of patient pathotypes. Beyond therapy prediction, the SoC offers a versatile platform for studying RA heterogeneity and disease mechanisms.</w:t>
      </w:r>
    </w:p>
    <w:p w14:paraId="048CA8F4" w14:textId="77777777" w:rsidR="00864F2D" w:rsidRDefault="00864F2D" w:rsidP="00C315D2">
      <w:pPr>
        <w:jc w:val="both"/>
        <w:rPr>
          <w:rFonts w:ascii="Arial" w:eastAsia="Calibri" w:hAnsi="Arial" w:cs="Calibri"/>
          <w:bCs/>
          <w:kern w:val="0"/>
          <w:sz w:val="20"/>
          <w:szCs w:val="20"/>
          <w14:ligatures w14:val="none"/>
        </w:rPr>
      </w:pPr>
    </w:p>
    <w:sectPr w:rsidR="00864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128DE1"/>
    <w:multiLevelType w:val="hybridMultilevel"/>
    <w:tmpl w:val="C61811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227401">
    <w:abstractNumId w:val="1"/>
  </w:num>
  <w:num w:numId="2" w16cid:durableId="8850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C4C29"/>
    <w:rsid w:val="00104178"/>
    <w:rsid w:val="00107368"/>
    <w:rsid w:val="00113BB7"/>
    <w:rsid w:val="002017E6"/>
    <w:rsid w:val="00231AD7"/>
    <w:rsid w:val="00294059"/>
    <w:rsid w:val="003206E4"/>
    <w:rsid w:val="003A1F63"/>
    <w:rsid w:val="003A6D5C"/>
    <w:rsid w:val="00483349"/>
    <w:rsid w:val="004A51B6"/>
    <w:rsid w:val="00510CF8"/>
    <w:rsid w:val="00575A29"/>
    <w:rsid w:val="005F7369"/>
    <w:rsid w:val="00601754"/>
    <w:rsid w:val="006A34BE"/>
    <w:rsid w:val="006C0854"/>
    <w:rsid w:val="006F3F1C"/>
    <w:rsid w:val="007141F2"/>
    <w:rsid w:val="007561D8"/>
    <w:rsid w:val="0076303F"/>
    <w:rsid w:val="00763B7E"/>
    <w:rsid w:val="00765492"/>
    <w:rsid w:val="00795378"/>
    <w:rsid w:val="00796206"/>
    <w:rsid w:val="007C367E"/>
    <w:rsid w:val="007D56FD"/>
    <w:rsid w:val="007E6167"/>
    <w:rsid w:val="008071C5"/>
    <w:rsid w:val="00830742"/>
    <w:rsid w:val="00864F2D"/>
    <w:rsid w:val="00906D34"/>
    <w:rsid w:val="00933DC9"/>
    <w:rsid w:val="00936D4C"/>
    <w:rsid w:val="009523F9"/>
    <w:rsid w:val="009650DF"/>
    <w:rsid w:val="009B1CBB"/>
    <w:rsid w:val="00A0516D"/>
    <w:rsid w:val="00B168FF"/>
    <w:rsid w:val="00B4721D"/>
    <w:rsid w:val="00B63E8A"/>
    <w:rsid w:val="00B8473A"/>
    <w:rsid w:val="00B958DD"/>
    <w:rsid w:val="00C21815"/>
    <w:rsid w:val="00C25E87"/>
    <w:rsid w:val="00C315D2"/>
    <w:rsid w:val="00C353D8"/>
    <w:rsid w:val="00C411F5"/>
    <w:rsid w:val="00CF5A91"/>
    <w:rsid w:val="00D02BB1"/>
    <w:rsid w:val="00D45A74"/>
    <w:rsid w:val="00D7428F"/>
    <w:rsid w:val="00EC3746"/>
    <w:rsid w:val="00F107B5"/>
    <w:rsid w:val="00F539FB"/>
    <w:rsid w:val="00F62C91"/>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3349"/>
  </w:style>
  <w:style w:type="paragraph" w:styleId="Titolo1">
    <w:name w:val="heading 1"/>
    <w:basedOn w:val="Normale"/>
    <w:next w:val="Normale"/>
    <w:link w:val="Titolo1Carattere"/>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15D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15D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15D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15D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15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15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15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15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15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15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15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15D2"/>
    <w:rPr>
      <w:i/>
      <w:iCs/>
      <w:color w:val="404040" w:themeColor="text1" w:themeTint="BF"/>
    </w:rPr>
  </w:style>
  <w:style w:type="paragraph" w:styleId="Paragrafoelenco">
    <w:name w:val="List Paragraph"/>
    <w:basedOn w:val="Normale"/>
    <w:uiPriority w:val="34"/>
    <w:qFormat/>
    <w:rsid w:val="00C315D2"/>
    <w:pPr>
      <w:ind w:left="720"/>
      <w:contextualSpacing/>
    </w:pPr>
  </w:style>
  <w:style w:type="character" w:styleId="Enfasiintensa">
    <w:name w:val="Intense Emphasis"/>
    <w:basedOn w:val="Carpredefinitoparagrafo"/>
    <w:uiPriority w:val="21"/>
    <w:qFormat/>
    <w:rsid w:val="00C315D2"/>
    <w:rPr>
      <w:i/>
      <w:iCs/>
      <w:color w:val="0F4761" w:themeColor="accent1" w:themeShade="BF"/>
    </w:rPr>
  </w:style>
  <w:style w:type="paragraph" w:styleId="Citazioneintensa">
    <w:name w:val="Intense Quote"/>
    <w:basedOn w:val="Normale"/>
    <w:next w:val="Normale"/>
    <w:link w:val="CitazioneintensaCarattere"/>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15D2"/>
    <w:rPr>
      <w:i/>
      <w:iCs/>
      <w:color w:val="0F4761" w:themeColor="accent1" w:themeShade="BF"/>
    </w:rPr>
  </w:style>
  <w:style w:type="character" w:styleId="Riferimentointenso">
    <w:name w:val="Intense Reference"/>
    <w:basedOn w:val="Carpredefinitoparagrafo"/>
    <w:uiPriority w:val="32"/>
    <w:qFormat/>
    <w:rsid w:val="00C315D2"/>
    <w:rPr>
      <w:b/>
      <w:bCs/>
      <w:smallCaps/>
      <w:color w:val="0F4761" w:themeColor="accent1" w:themeShade="BF"/>
      <w:spacing w:val="5"/>
    </w:rPr>
  </w:style>
  <w:style w:type="character" w:styleId="Rimandocommento">
    <w:name w:val="annotation reference"/>
    <w:basedOn w:val="Carpredefinitoparagrafo"/>
    <w:uiPriority w:val="99"/>
    <w:semiHidden/>
    <w:unhideWhenUsed/>
    <w:rsid w:val="00B958DD"/>
    <w:rPr>
      <w:sz w:val="16"/>
      <w:szCs w:val="16"/>
    </w:rPr>
  </w:style>
  <w:style w:type="paragraph" w:styleId="Testocommento">
    <w:name w:val="annotation text"/>
    <w:basedOn w:val="Normale"/>
    <w:link w:val="TestocommentoCarattere"/>
    <w:uiPriority w:val="99"/>
    <w:semiHidden/>
    <w:unhideWhenUsed/>
    <w:rsid w:val="00B958D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58DD"/>
    <w:rPr>
      <w:sz w:val="20"/>
      <w:szCs w:val="20"/>
    </w:rPr>
  </w:style>
  <w:style w:type="paragraph" w:styleId="Soggettocommento">
    <w:name w:val="annotation subject"/>
    <w:basedOn w:val="Testocommento"/>
    <w:next w:val="Testocommento"/>
    <w:link w:val="SoggettocommentoCarattere"/>
    <w:uiPriority w:val="99"/>
    <w:semiHidden/>
    <w:unhideWhenUsed/>
    <w:rsid w:val="00B958DD"/>
    <w:rPr>
      <w:b/>
      <w:bCs/>
    </w:rPr>
  </w:style>
  <w:style w:type="character" w:customStyle="1" w:styleId="SoggettocommentoCarattere">
    <w:name w:val="Soggetto commento Carattere"/>
    <w:basedOn w:val="TestocommentoCarattere"/>
    <w:link w:val="Soggettocommento"/>
    <w:uiPriority w:val="99"/>
    <w:semiHidden/>
    <w:rsid w:val="00B958DD"/>
    <w:rPr>
      <w:b/>
      <w:bCs/>
      <w:sz w:val="20"/>
      <w:szCs w:val="20"/>
    </w:rPr>
  </w:style>
  <w:style w:type="paragraph" w:styleId="Testofumetto">
    <w:name w:val="Balloon Text"/>
    <w:basedOn w:val="Normale"/>
    <w:link w:val="TestofumettoCarattere"/>
    <w:uiPriority w:val="99"/>
    <w:semiHidden/>
    <w:unhideWhenUsed/>
    <w:rsid w:val="00B958D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58933">
      <w:bodyDiv w:val="1"/>
      <w:marLeft w:val="0"/>
      <w:marRight w:val="0"/>
      <w:marTop w:val="0"/>
      <w:marBottom w:val="0"/>
      <w:divBdr>
        <w:top w:val="none" w:sz="0" w:space="0" w:color="auto"/>
        <w:left w:val="none" w:sz="0" w:space="0" w:color="auto"/>
        <w:bottom w:val="none" w:sz="0" w:space="0" w:color="auto"/>
        <w:right w:val="none" w:sz="0" w:space="0" w:color="auto"/>
      </w:divBdr>
    </w:div>
    <w:div w:id="757678483">
      <w:bodyDiv w:val="1"/>
      <w:marLeft w:val="0"/>
      <w:marRight w:val="0"/>
      <w:marTop w:val="0"/>
      <w:marBottom w:val="0"/>
      <w:divBdr>
        <w:top w:val="none" w:sz="0" w:space="0" w:color="auto"/>
        <w:left w:val="none" w:sz="0" w:space="0" w:color="auto"/>
        <w:bottom w:val="none" w:sz="0" w:space="0" w:color="auto"/>
        <w:right w:val="none" w:sz="0" w:space="0" w:color="auto"/>
      </w:divBdr>
    </w:div>
    <w:div w:id="810026574">
      <w:bodyDiv w:val="1"/>
      <w:marLeft w:val="0"/>
      <w:marRight w:val="0"/>
      <w:marTop w:val="0"/>
      <w:marBottom w:val="0"/>
      <w:divBdr>
        <w:top w:val="none" w:sz="0" w:space="0" w:color="auto"/>
        <w:left w:val="none" w:sz="0" w:space="0" w:color="auto"/>
        <w:bottom w:val="none" w:sz="0" w:space="0" w:color="auto"/>
        <w:right w:val="none" w:sz="0" w:space="0" w:color="auto"/>
      </w:divBdr>
    </w:div>
    <w:div w:id="995955382">
      <w:bodyDiv w:val="1"/>
      <w:marLeft w:val="0"/>
      <w:marRight w:val="0"/>
      <w:marTop w:val="0"/>
      <w:marBottom w:val="0"/>
      <w:divBdr>
        <w:top w:val="none" w:sz="0" w:space="0" w:color="auto"/>
        <w:left w:val="none" w:sz="0" w:space="0" w:color="auto"/>
        <w:bottom w:val="none" w:sz="0" w:space="0" w:color="auto"/>
        <w:right w:val="none" w:sz="0" w:space="0" w:color="auto"/>
      </w:divBdr>
    </w:div>
    <w:div w:id="1366756239">
      <w:bodyDiv w:val="1"/>
      <w:marLeft w:val="0"/>
      <w:marRight w:val="0"/>
      <w:marTop w:val="0"/>
      <w:marBottom w:val="0"/>
      <w:divBdr>
        <w:top w:val="none" w:sz="0" w:space="0" w:color="auto"/>
        <w:left w:val="none" w:sz="0" w:space="0" w:color="auto"/>
        <w:bottom w:val="none" w:sz="0" w:space="0" w:color="auto"/>
        <w:right w:val="none" w:sz="0" w:space="0" w:color="auto"/>
      </w:divBdr>
    </w:div>
    <w:div w:id="20162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Annalisa Chiocchetti</cp:lastModifiedBy>
  <cp:revision>3</cp:revision>
  <dcterms:created xsi:type="dcterms:W3CDTF">2025-06-12T04:45:00Z</dcterms:created>
  <dcterms:modified xsi:type="dcterms:W3CDTF">2025-06-12T04:46:00Z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