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F1B9" w14:textId="43879C5C" w:rsidR="00C315D2" w:rsidRPr="00C315D2" w:rsidRDefault="00AE44DD" w:rsidP="5E2C5F31">
      <w:pPr>
        <w:spacing w:after="0" w:line="240" w:lineRule="auto"/>
        <w:rPr>
          <w:rFonts w:ascii="Arial" w:eastAsia="Calibri" w:hAnsi="Arial" w:cs="Calibri"/>
          <w:b/>
          <w:bCs/>
          <w:kern w:val="0"/>
          <w:lang w:val="en-US"/>
          <w14:ligatures w14:val="none"/>
        </w:rPr>
      </w:pPr>
      <w:r>
        <w:rPr>
          <w:rFonts w:ascii="Arial" w:eastAsia="Calibri" w:hAnsi="Arial" w:cs="Calibri"/>
          <w:b/>
          <w:bCs/>
          <w:kern w:val="0"/>
          <w:lang w:val="en-US"/>
          <w14:ligatures w14:val="none"/>
        </w:rPr>
        <w:t xml:space="preserve">Quality of Annona muricata </w:t>
      </w:r>
      <w:r w:rsidR="00CD759A">
        <w:rPr>
          <w:rFonts w:ascii="Arial" w:eastAsia="Calibri" w:hAnsi="Arial" w:cs="Calibri"/>
          <w:b/>
          <w:bCs/>
          <w:kern w:val="0"/>
          <w:lang w:val="en-US"/>
          <w14:ligatures w14:val="none"/>
        </w:rPr>
        <w:t xml:space="preserve">Commercially Available </w:t>
      </w:r>
      <w:r>
        <w:rPr>
          <w:rFonts w:ascii="Arial" w:eastAsia="Calibri" w:hAnsi="Arial" w:cs="Calibri"/>
          <w:b/>
          <w:bCs/>
          <w:kern w:val="0"/>
          <w:lang w:val="en-US"/>
          <w14:ligatures w14:val="none"/>
        </w:rPr>
        <w:t xml:space="preserve">Products </w:t>
      </w:r>
    </w:p>
    <w:p w14:paraId="79141BD9" w14:textId="20AFAADF" w:rsidR="00C315D2" w:rsidRPr="00C315D2" w:rsidRDefault="00AE44DD" w:rsidP="00C315D2">
      <w:pPr>
        <w:spacing w:after="0" w:line="240" w:lineRule="auto"/>
        <w:rPr>
          <w:rFonts w:ascii="Arial" w:eastAsia="Calibri" w:hAnsi="Arial" w:cs="Calibri"/>
          <w:bCs/>
          <w:kern w:val="0"/>
          <w:sz w:val="20"/>
          <w:szCs w:val="20"/>
          <w14:ligatures w14:val="none"/>
        </w:rPr>
      </w:pPr>
      <w:r>
        <w:rPr>
          <w:rFonts w:ascii="Arial" w:eastAsia="Calibri" w:hAnsi="Arial" w:cs="Calibri"/>
          <w:b/>
          <w:kern w:val="0"/>
          <w:sz w:val="20"/>
          <w:szCs w:val="20"/>
          <w:u w:val="single"/>
          <w14:ligatures w14:val="none"/>
        </w:rPr>
        <w:t>Wai-Jo Jocelin Chan</w:t>
      </w:r>
      <w:r w:rsidR="00C315D2" w:rsidRPr="00C315D2">
        <w:rPr>
          <w:rFonts w:ascii="Arial" w:eastAsia="Calibri" w:hAnsi="Arial" w:cs="Calibri"/>
          <w:b/>
          <w:kern w:val="0"/>
          <w:sz w:val="20"/>
          <w:szCs w:val="20"/>
          <w:u w:val="single"/>
          <w:vertAlign w:val="superscript"/>
          <w14:ligatures w14:val="none"/>
        </w:rPr>
        <w:t>1</w:t>
      </w:r>
      <w:r w:rsidR="00C315D2" w:rsidRPr="00C315D2">
        <w:rPr>
          <w:rFonts w:ascii="Arial" w:eastAsia="Calibri" w:hAnsi="Arial" w:cs="Calibri"/>
          <w:bCs/>
          <w:kern w:val="0"/>
          <w:sz w:val="20"/>
          <w:szCs w:val="20"/>
          <w14:ligatures w14:val="none"/>
        </w:rPr>
        <w:t>, J</w:t>
      </w:r>
      <w:r>
        <w:rPr>
          <w:rFonts w:ascii="Arial" w:eastAsia="Calibri" w:hAnsi="Arial" w:cs="Calibri"/>
          <w:bCs/>
          <w:kern w:val="0"/>
          <w:sz w:val="20"/>
          <w:szCs w:val="20"/>
          <w14:ligatures w14:val="none"/>
        </w:rPr>
        <w:t>oanna Harnett</w:t>
      </w:r>
      <w:r w:rsidR="00C315D2" w:rsidRPr="00C315D2">
        <w:rPr>
          <w:rFonts w:ascii="Arial" w:eastAsia="Calibri" w:hAnsi="Arial" w:cs="Calibri"/>
          <w:bCs/>
          <w:kern w:val="0"/>
          <w:sz w:val="20"/>
          <w:szCs w:val="20"/>
          <w:vertAlign w:val="superscript"/>
          <w14:ligatures w14:val="none"/>
        </w:rPr>
        <w:t>1</w:t>
      </w:r>
      <w:r>
        <w:rPr>
          <w:rFonts w:ascii="Arial" w:eastAsia="Calibri" w:hAnsi="Arial" w:cs="Calibri"/>
          <w:bCs/>
          <w:kern w:val="0"/>
          <w:sz w:val="20"/>
          <w:szCs w:val="20"/>
          <w:vertAlign w:val="superscript"/>
          <w14:ligatures w14:val="none"/>
        </w:rPr>
        <w:t xml:space="preserve"> </w:t>
      </w:r>
      <w:r>
        <w:rPr>
          <w:rFonts w:ascii="Arial" w:eastAsia="Calibri" w:hAnsi="Arial" w:cs="Calibri"/>
          <w:bCs/>
          <w:kern w:val="0"/>
          <w:sz w:val="20"/>
          <w:szCs w:val="20"/>
          <w14:ligatures w14:val="none"/>
        </w:rPr>
        <w:t>Alexandra Meroni</w:t>
      </w:r>
      <w:r w:rsidR="00C315D2" w:rsidRPr="00C315D2">
        <w:rPr>
          <w:rFonts w:ascii="Arial" w:eastAsia="Calibri" w:hAnsi="Arial" w:cs="Calibri"/>
          <w:bCs/>
          <w:kern w:val="0"/>
          <w:sz w:val="20"/>
          <w:szCs w:val="20"/>
          <w:vertAlign w:val="superscript"/>
          <w14:ligatures w14:val="none"/>
        </w:rPr>
        <w:t>2</w:t>
      </w:r>
      <w:r>
        <w:rPr>
          <w:rFonts w:ascii="Arial" w:eastAsia="Calibri" w:hAnsi="Arial" w:cs="Calibri"/>
          <w:bCs/>
          <w:kern w:val="0"/>
          <w:sz w:val="20"/>
          <w:szCs w:val="20"/>
          <w14:ligatures w14:val="none"/>
        </w:rPr>
        <w:t>, Andrew McLachlan</w:t>
      </w:r>
      <w:r w:rsidRPr="00AE44DD">
        <w:rPr>
          <w:rFonts w:ascii="Arial" w:eastAsia="Calibri" w:hAnsi="Arial" w:cs="Calibri"/>
          <w:bCs/>
          <w:kern w:val="0"/>
          <w:sz w:val="20"/>
          <w:szCs w:val="20"/>
          <w:vertAlign w:val="superscript"/>
          <w14:ligatures w14:val="none"/>
        </w:rPr>
        <w:t>1</w:t>
      </w:r>
      <w:r>
        <w:rPr>
          <w:rFonts w:ascii="Arial" w:eastAsia="Calibri" w:hAnsi="Arial" w:cs="Calibri"/>
          <w:bCs/>
          <w:kern w:val="0"/>
          <w:sz w:val="20"/>
          <w:szCs w:val="20"/>
          <w14:ligatures w14:val="none"/>
        </w:rPr>
        <w:t>, Jane Hanrahan</w:t>
      </w:r>
      <w:r w:rsidRPr="00AE44DD">
        <w:rPr>
          <w:rFonts w:ascii="Arial" w:eastAsia="Calibri" w:hAnsi="Arial" w:cs="Calibri"/>
          <w:bCs/>
          <w:kern w:val="0"/>
          <w:sz w:val="20"/>
          <w:szCs w:val="20"/>
          <w:vertAlign w:val="superscript"/>
          <w14:ligatures w14:val="none"/>
        </w:rPr>
        <w:t>1</w:t>
      </w:r>
    </w:p>
    <w:p w14:paraId="137D4547" w14:textId="4E338080" w:rsidR="00C315D2" w:rsidRDefault="00AE44DD" w:rsidP="4FE71DF4">
      <w:pPr>
        <w:spacing w:after="0" w:line="240" w:lineRule="auto"/>
        <w:rPr>
          <w:rFonts w:ascii="Arial" w:eastAsia="Calibri" w:hAnsi="Arial" w:cs="Calibri"/>
          <w:bCs/>
          <w:kern w:val="0"/>
          <w:sz w:val="20"/>
          <w:szCs w:val="20"/>
          <w14:ligatures w14:val="none"/>
        </w:rPr>
      </w:pPr>
      <w:r>
        <w:rPr>
          <w:rFonts w:ascii="Arial" w:eastAsia="Calibri" w:hAnsi="Arial" w:cs="Calibri"/>
          <w:bCs/>
          <w:kern w:val="0"/>
          <w:sz w:val="20"/>
          <w:szCs w:val="20"/>
          <w14:ligatures w14:val="none"/>
        </w:rPr>
        <w:t>Faculty of Medicine and Health, School of Pharmacy,</w:t>
      </w:r>
      <w:r w:rsidR="00C315D2" w:rsidRPr="00C315D2">
        <w:rPr>
          <w:rFonts w:ascii="Arial" w:eastAsia="Calibri" w:hAnsi="Arial" w:cs="Calibri"/>
          <w:bCs/>
          <w:kern w:val="0"/>
          <w:sz w:val="20"/>
          <w:szCs w:val="20"/>
          <w:vertAlign w:val="superscript"/>
          <w14:ligatures w14:val="none"/>
        </w:rPr>
        <w:t>1</w:t>
      </w:r>
      <w:r>
        <w:rPr>
          <w:rFonts w:ascii="Arial" w:eastAsia="Calibri" w:hAnsi="Arial" w:cs="Calibri"/>
          <w:bCs/>
          <w:kern w:val="0"/>
          <w:sz w:val="20"/>
          <w:szCs w:val="20"/>
          <w14:ligatures w14:val="none"/>
        </w:rPr>
        <w:t xml:space="preserve"> The University of Sydney, </w:t>
      </w:r>
      <w:proofErr w:type="gramStart"/>
      <w:r>
        <w:rPr>
          <w:rFonts w:ascii="Arial" w:eastAsia="Calibri" w:hAnsi="Arial" w:cs="Calibri"/>
          <w:bCs/>
          <w:kern w:val="0"/>
          <w:sz w:val="20"/>
          <w:szCs w:val="20"/>
          <w14:ligatures w14:val="none"/>
        </w:rPr>
        <w:t>Australia</w:t>
      </w:r>
      <w:r w:rsidR="00F539FB">
        <w:rPr>
          <w:rFonts w:ascii="Arial" w:eastAsia="Calibri" w:hAnsi="Arial" w:cs="Calibri"/>
          <w:bCs/>
          <w:kern w:val="0"/>
          <w:sz w:val="20"/>
          <w:szCs w:val="20"/>
          <w14:ligatures w14:val="none"/>
        </w:rPr>
        <w:t>;</w:t>
      </w:r>
      <w:proofErr w:type="gramEnd"/>
    </w:p>
    <w:p w14:paraId="2DD37039" w14:textId="086F992C" w:rsidR="00C315D2" w:rsidRDefault="00AE44DD" w:rsidP="00C315D2">
      <w:pPr>
        <w:spacing w:after="0" w:line="240" w:lineRule="auto"/>
        <w:rPr>
          <w:rFonts w:ascii="Arial" w:eastAsia="Calibri" w:hAnsi="Arial" w:cs="Calibri"/>
          <w:bCs/>
          <w:kern w:val="0"/>
          <w:sz w:val="20"/>
          <w:szCs w:val="20"/>
          <w14:ligatures w14:val="none"/>
        </w:rPr>
      </w:pPr>
      <w:r w:rsidRPr="00AE44DD">
        <w:rPr>
          <w:rFonts w:ascii="Arial" w:eastAsia="Calibri" w:hAnsi="Arial" w:cs="Calibri"/>
          <w:bCs/>
          <w:kern w:val="0"/>
          <w:sz w:val="20"/>
          <w:szCs w:val="20"/>
          <w14:ligatures w14:val="none"/>
        </w:rPr>
        <w:t>Pharmaceutical Biology, Department Pharmaceutical Sciences</w:t>
      </w:r>
      <w:r w:rsidRPr="00AE44DD">
        <w:rPr>
          <w:rFonts w:ascii="Arial" w:eastAsia="Calibri" w:hAnsi="Arial" w:cs="Calibri"/>
          <w:bCs/>
          <w:kern w:val="0"/>
          <w:sz w:val="20"/>
          <w:szCs w:val="20"/>
          <w:vertAlign w:val="superscript"/>
          <w14:ligatures w14:val="none"/>
        </w:rPr>
        <w:t>2</w:t>
      </w:r>
      <w:r w:rsidRPr="00AE44DD">
        <w:rPr>
          <w:rFonts w:ascii="Arial" w:eastAsia="Calibri" w:hAnsi="Arial" w:cs="Calibri"/>
          <w:bCs/>
          <w:kern w:val="0"/>
          <w:sz w:val="20"/>
          <w:szCs w:val="20"/>
          <w14:ligatures w14:val="none"/>
        </w:rPr>
        <w:t>, University of Basel, Basel,</w:t>
      </w:r>
      <w:r>
        <w:rPr>
          <w:rFonts w:ascii="Arial" w:eastAsia="Calibri" w:hAnsi="Arial" w:cs="Calibri"/>
          <w:bCs/>
          <w:kern w:val="0"/>
          <w:sz w:val="20"/>
          <w:szCs w:val="20"/>
          <w14:ligatures w14:val="none"/>
        </w:rPr>
        <w:t xml:space="preserve"> </w:t>
      </w:r>
      <w:r w:rsidRPr="00AE44DD">
        <w:rPr>
          <w:rFonts w:ascii="Arial" w:eastAsia="Calibri" w:hAnsi="Arial" w:cs="Calibri"/>
          <w:bCs/>
          <w:kern w:val="0"/>
          <w:sz w:val="20"/>
          <w:szCs w:val="20"/>
          <w14:ligatures w14:val="none"/>
        </w:rPr>
        <w:t>Switzerland</w:t>
      </w:r>
    </w:p>
    <w:p w14:paraId="5C303981" w14:textId="77777777" w:rsidR="00AE44DD" w:rsidRPr="00C315D2" w:rsidRDefault="00AE44DD" w:rsidP="00C315D2">
      <w:pPr>
        <w:spacing w:after="0" w:line="240" w:lineRule="auto"/>
        <w:rPr>
          <w:rFonts w:ascii="Arial" w:eastAsia="Calibri" w:hAnsi="Arial" w:cs="Calibri"/>
          <w:bCs/>
          <w:kern w:val="0"/>
          <w:sz w:val="20"/>
          <w:szCs w:val="20"/>
          <w14:ligatures w14:val="none"/>
        </w:rPr>
      </w:pPr>
    </w:p>
    <w:p w14:paraId="2385039D" w14:textId="33508256" w:rsidR="00C315D2" w:rsidRPr="00AE44DD" w:rsidRDefault="00B8473A" w:rsidP="00AE44DD">
      <w:pPr>
        <w:spacing w:line="240" w:lineRule="auto"/>
        <w:jc w:val="both"/>
        <w:rPr>
          <w:rFonts w:ascii="Arial" w:hAnsi="Arial" w:cs="Arial"/>
          <w:sz w:val="20"/>
          <w:szCs w:val="20"/>
        </w:rPr>
      </w:pPr>
      <w:r w:rsidRPr="00AE44DD">
        <w:rPr>
          <w:rFonts w:ascii="Arial" w:eastAsia="Calibri" w:hAnsi="Arial" w:cs="Calibri"/>
          <w:b/>
          <w:kern w:val="0"/>
          <w:sz w:val="20"/>
          <w:szCs w:val="20"/>
          <w14:ligatures w14:val="none"/>
        </w:rPr>
        <w:t>Background and aims</w:t>
      </w:r>
      <w:r w:rsidR="00C315D2" w:rsidRPr="00AE44DD">
        <w:rPr>
          <w:rFonts w:ascii="Arial" w:eastAsia="Calibri" w:hAnsi="Arial" w:cs="Calibri"/>
          <w:b/>
          <w:kern w:val="0"/>
          <w:sz w:val="20"/>
          <w:szCs w:val="20"/>
          <w14:ligatures w14:val="none"/>
        </w:rPr>
        <w:t>.</w:t>
      </w:r>
      <w:r w:rsidR="00AE44DD" w:rsidRPr="00AE44DD">
        <w:rPr>
          <w:rFonts w:ascii="Arial" w:eastAsia="Calibri" w:hAnsi="Arial" w:cs="Calibri"/>
          <w:b/>
          <w:kern w:val="0"/>
          <w:sz w:val="20"/>
          <w:szCs w:val="20"/>
          <w14:ligatures w14:val="none"/>
        </w:rPr>
        <w:t xml:space="preserve"> </w:t>
      </w:r>
      <w:r w:rsidR="00AE44DD" w:rsidRPr="00AE44DD">
        <w:rPr>
          <w:rFonts w:ascii="Arial" w:hAnsi="Arial" w:cs="Arial"/>
          <w:i/>
          <w:iCs/>
          <w:sz w:val="20"/>
          <w:szCs w:val="20"/>
        </w:rPr>
        <w:t>Annona muricata</w:t>
      </w:r>
      <w:r w:rsidR="00AE44DD" w:rsidRPr="00AE44DD">
        <w:rPr>
          <w:rFonts w:ascii="Arial" w:hAnsi="Arial" w:cs="Arial"/>
          <w:sz w:val="20"/>
          <w:szCs w:val="20"/>
        </w:rPr>
        <w:t xml:space="preserve">, also known as graviola, is </w:t>
      </w:r>
      <w:proofErr w:type="gramStart"/>
      <w:r w:rsidR="00AE44DD" w:rsidRPr="00AE44DD">
        <w:rPr>
          <w:rFonts w:ascii="Arial" w:hAnsi="Arial" w:cs="Arial"/>
          <w:sz w:val="20"/>
          <w:szCs w:val="20"/>
        </w:rPr>
        <w:t>a</w:t>
      </w:r>
      <w:proofErr w:type="gramEnd"/>
      <w:r w:rsidR="00AE44DD" w:rsidRPr="00AE44DD">
        <w:rPr>
          <w:rFonts w:ascii="Arial" w:hAnsi="Arial" w:cs="Arial"/>
          <w:sz w:val="20"/>
          <w:szCs w:val="20"/>
        </w:rPr>
        <w:t xml:space="preserve"> herbal product commonly used by people living with cancer in South America and the Caribbean region (1-5). The bioactive constituents of </w:t>
      </w:r>
      <w:r w:rsidR="00AE44DD" w:rsidRPr="00AE44DD">
        <w:rPr>
          <w:rFonts w:ascii="Arial" w:hAnsi="Arial" w:cs="Arial"/>
          <w:i/>
          <w:iCs/>
          <w:sz w:val="20"/>
          <w:szCs w:val="20"/>
        </w:rPr>
        <w:t>A. muricata</w:t>
      </w:r>
      <w:r w:rsidR="00AE44DD" w:rsidRPr="00AE44DD">
        <w:rPr>
          <w:rFonts w:ascii="Arial" w:hAnsi="Arial" w:cs="Arial"/>
          <w:sz w:val="20"/>
          <w:szCs w:val="20"/>
        </w:rPr>
        <w:t xml:space="preserve">, </w:t>
      </w:r>
      <w:proofErr w:type="spellStart"/>
      <w:r w:rsidR="00AE44DD" w:rsidRPr="00AE44DD">
        <w:rPr>
          <w:rFonts w:ascii="Arial" w:hAnsi="Arial" w:cs="Arial"/>
          <w:sz w:val="20"/>
          <w:szCs w:val="20"/>
        </w:rPr>
        <w:t>annonaceous</w:t>
      </w:r>
      <w:proofErr w:type="spellEnd"/>
      <w:r w:rsidR="00AE44DD" w:rsidRPr="00AE44DD">
        <w:rPr>
          <w:rFonts w:ascii="Arial" w:hAnsi="Arial" w:cs="Arial"/>
          <w:sz w:val="20"/>
          <w:szCs w:val="20"/>
        </w:rPr>
        <w:t xml:space="preserve"> </w:t>
      </w:r>
      <w:proofErr w:type="spellStart"/>
      <w:r w:rsidR="00AE44DD" w:rsidRPr="00AE44DD">
        <w:rPr>
          <w:rFonts w:ascii="Arial" w:hAnsi="Arial" w:cs="Arial"/>
          <w:sz w:val="20"/>
          <w:szCs w:val="20"/>
        </w:rPr>
        <w:t>acetogenins</w:t>
      </w:r>
      <w:proofErr w:type="spellEnd"/>
      <w:r w:rsidR="00AE44DD" w:rsidRPr="00AE44DD">
        <w:rPr>
          <w:rFonts w:ascii="Arial" w:hAnsi="Arial" w:cs="Arial"/>
          <w:sz w:val="20"/>
          <w:szCs w:val="20"/>
        </w:rPr>
        <w:t xml:space="preserve"> had demonstrated anticancer activity (6</w:t>
      </w:r>
      <w:r w:rsidR="00CA478D">
        <w:rPr>
          <w:rFonts w:ascii="Arial" w:hAnsi="Arial" w:cs="Arial"/>
          <w:sz w:val="20"/>
          <w:szCs w:val="20"/>
        </w:rPr>
        <w:t>,7</w:t>
      </w:r>
      <w:r w:rsidR="00AE44DD" w:rsidRPr="00AE44DD">
        <w:rPr>
          <w:rFonts w:ascii="Arial" w:hAnsi="Arial" w:cs="Arial"/>
          <w:sz w:val="20"/>
          <w:szCs w:val="20"/>
        </w:rPr>
        <w:t xml:space="preserve">). This study aimed to evaluate the </w:t>
      </w:r>
      <w:r w:rsidR="001B1416">
        <w:rPr>
          <w:rFonts w:ascii="Arial" w:hAnsi="Arial" w:cs="Arial"/>
          <w:sz w:val="20"/>
          <w:szCs w:val="20"/>
        </w:rPr>
        <w:t xml:space="preserve">pharmaceutical </w:t>
      </w:r>
      <w:r w:rsidR="00AE44DD" w:rsidRPr="00AE44DD">
        <w:rPr>
          <w:rFonts w:ascii="Arial" w:hAnsi="Arial" w:cs="Arial"/>
          <w:sz w:val="20"/>
          <w:szCs w:val="20"/>
        </w:rPr>
        <w:t>quality of a selection of commercially available </w:t>
      </w:r>
      <w:r w:rsidR="00AE44DD" w:rsidRPr="00AE44DD">
        <w:rPr>
          <w:rFonts w:ascii="Arial" w:hAnsi="Arial" w:cs="Arial"/>
          <w:i/>
          <w:iCs/>
          <w:sz w:val="20"/>
          <w:szCs w:val="20"/>
        </w:rPr>
        <w:t>A. muricata</w:t>
      </w:r>
      <w:r w:rsidR="00AE44DD" w:rsidRPr="00AE44DD">
        <w:rPr>
          <w:rFonts w:ascii="Arial" w:hAnsi="Arial" w:cs="Arial"/>
          <w:sz w:val="20"/>
          <w:szCs w:val="20"/>
        </w:rPr>
        <w:t xml:space="preserve"> products.</w:t>
      </w:r>
    </w:p>
    <w:p w14:paraId="15D93483"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4520E7A4" w14:textId="4B010ECD" w:rsidR="00AE44DD" w:rsidRPr="00831B42" w:rsidRDefault="00C315D2" w:rsidP="00AE44DD">
      <w:pPr>
        <w:spacing w:line="240" w:lineRule="auto"/>
        <w:jc w:val="both"/>
        <w:rPr>
          <w:rFonts w:ascii="Arial" w:hAnsi="Arial" w:cs="Arial"/>
          <w:sz w:val="20"/>
          <w:szCs w:val="20"/>
        </w:rPr>
      </w:pPr>
      <w:r w:rsidRPr="00C315D2">
        <w:rPr>
          <w:rFonts w:ascii="Arial" w:eastAsia="Calibri" w:hAnsi="Arial" w:cs="Calibri"/>
          <w:b/>
          <w:kern w:val="0"/>
          <w:sz w:val="20"/>
          <w:szCs w:val="20"/>
          <w14:ligatures w14:val="none"/>
        </w:rPr>
        <w:t>Methods</w:t>
      </w:r>
      <w:r w:rsidR="00FB40B4">
        <w:rPr>
          <w:rFonts w:ascii="Arial" w:eastAsia="Calibri" w:hAnsi="Arial" w:cs="Calibri"/>
          <w:b/>
          <w:kern w:val="0"/>
          <w:sz w:val="20"/>
          <w:szCs w:val="20"/>
          <w14:ligatures w14:val="none"/>
        </w:rPr>
        <w:t xml:space="preserve">. </w:t>
      </w:r>
      <w:r w:rsidR="00FB40B4" w:rsidRPr="00935EB7">
        <w:rPr>
          <w:rFonts w:ascii="Arial" w:eastAsia="Calibri" w:hAnsi="Arial" w:cs="Calibri"/>
          <w:bCs/>
          <w:kern w:val="0"/>
          <w:sz w:val="20"/>
          <w:szCs w:val="20"/>
          <w14:ligatures w14:val="none"/>
        </w:rPr>
        <w:t xml:space="preserve">An online search identified seven commonly available </w:t>
      </w:r>
      <w:r w:rsidR="00FB40B4" w:rsidRPr="00935EB7">
        <w:rPr>
          <w:rFonts w:ascii="Arial" w:eastAsia="Calibri" w:hAnsi="Arial" w:cs="Calibri"/>
          <w:bCs/>
          <w:i/>
          <w:iCs/>
          <w:kern w:val="0"/>
          <w:sz w:val="20"/>
          <w:szCs w:val="20"/>
          <w14:ligatures w14:val="none"/>
        </w:rPr>
        <w:t>A. muricata</w:t>
      </w:r>
      <w:r w:rsidR="00FB40B4" w:rsidRPr="00935EB7">
        <w:rPr>
          <w:rFonts w:ascii="Arial" w:eastAsia="Calibri" w:hAnsi="Arial" w:cs="Calibri"/>
          <w:bCs/>
          <w:kern w:val="0"/>
          <w:sz w:val="20"/>
          <w:szCs w:val="20"/>
          <w14:ligatures w14:val="none"/>
        </w:rPr>
        <w:t xml:space="preserve"> products. Capsule and powder formulations from a single batch were purchased</w:t>
      </w:r>
      <w:r w:rsidR="00935EB7">
        <w:rPr>
          <w:rFonts w:ascii="Arial" w:eastAsia="Calibri" w:hAnsi="Arial" w:cs="Calibri"/>
          <w:bCs/>
          <w:kern w:val="0"/>
          <w:sz w:val="20"/>
          <w:szCs w:val="20"/>
          <w14:ligatures w14:val="none"/>
        </w:rPr>
        <w:t>.</w:t>
      </w:r>
      <w:r w:rsidR="00244812" w:rsidRPr="00FB40B4">
        <w:rPr>
          <w:rFonts w:ascii="Arial" w:hAnsi="Arial" w:cs="Arial"/>
          <w:bCs/>
          <w:sz w:val="20"/>
          <w:szCs w:val="20"/>
        </w:rPr>
        <w:t xml:space="preserve"> </w:t>
      </w:r>
      <w:r w:rsidR="00244812">
        <w:rPr>
          <w:rFonts w:ascii="Arial" w:hAnsi="Arial" w:cs="Arial"/>
          <w:sz w:val="20"/>
          <w:szCs w:val="20"/>
        </w:rPr>
        <w:t>U</w:t>
      </w:r>
      <w:r w:rsidR="00AE44DD" w:rsidRPr="00831B42">
        <w:rPr>
          <w:rFonts w:ascii="Arial" w:hAnsi="Arial" w:cs="Arial"/>
          <w:sz w:val="20"/>
          <w:szCs w:val="20"/>
        </w:rPr>
        <w:t>niformity of</w:t>
      </w:r>
      <w:r w:rsidR="00FB40B4">
        <w:rPr>
          <w:rFonts w:ascii="Arial" w:hAnsi="Arial" w:cs="Arial"/>
          <w:sz w:val="20"/>
          <w:szCs w:val="20"/>
        </w:rPr>
        <w:t xml:space="preserve"> the</w:t>
      </w:r>
      <w:r w:rsidR="00AE44DD" w:rsidRPr="00831B42">
        <w:rPr>
          <w:rFonts w:ascii="Arial" w:hAnsi="Arial" w:cs="Arial"/>
          <w:sz w:val="20"/>
          <w:szCs w:val="20"/>
        </w:rPr>
        <w:t xml:space="preserve"> </w:t>
      </w:r>
      <w:r w:rsidR="00A94020">
        <w:rPr>
          <w:rFonts w:ascii="Arial" w:hAnsi="Arial" w:cs="Arial"/>
          <w:sz w:val="20"/>
          <w:szCs w:val="20"/>
        </w:rPr>
        <w:t>capsule</w:t>
      </w:r>
      <w:r w:rsidR="00FB40B4">
        <w:rPr>
          <w:rFonts w:ascii="Arial" w:hAnsi="Arial" w:cs="Arial"/>
          <w:sz w:val="20"/>
          <w:szCs w:val="20"/>
        </w:rPr>
        <w:t xml:space="preserve"> contents</w:t>
      </w:r>
      <w:r w:rsidR="00BA73C9">
        <w:rPr>
          <w:rFonts w:ascii="Arial" w:hAnsi="Arial" w:cs="Arial"/>
          <w:sz w:val="20"/>
          <w:szCs w:val="20"/>
        </w:rPr>
        <w:t xml:space="preserve"> </w:t>
      </w:r>
      <w:r w:rsidR="00AE44DD" w:rsidRPr="00831B42">
        <w:rPr>
          <w:rFonts w:ascii="Arial" w:hAnsi="Arial" w:cs="Arial"/>
          <w:sz w:val="20"/>
          <w:szCs w:val="20"/>
        </w:rPr>
        <w:t xml:space="preserve">weight was assessed. Thin-layer chromatography (TLC), high-performance liquid chromatography (HPLC), liquid chromatography–mass spectroscopy (LCMS), low-resolution mass spectrometry (MS/MS) and nuclear magnetic resonance spectroscopy (NMR) were employed </w:t>
      </w:r>
      <w:r w:rsidR="00A94020">
        <w:rPr>
          <w:rFonts w:ascii="Arial" w:hAnsi="Arial" w:cs="Arial"/>
          <w:sz w:val="20"/>
          <w:szCs w:val="20"/>
        </w:rPr>
        <w:t>to quantify</w:t>
      </w:r>
      <w:r w:rsidR="00AE44DD" w:rsidRPr="00831B42">
        <w:rPr>
          <w:rFonts w:ascii="Arial" w:hAnsi="Arial" w:cs="Arial"/>
          <w:sz w:val="20"/>
          <w:szCs w:val="20"/>
        </w:rPr>
        <w:t xml:space="preserve"> the bioactive constituent annonacin and </w:t>
      </w:r>
      <w:r w:rsidR="00244812">
        <w:rPr>
          <w:rFonts w:ascii="Arial" w:hAnsi="Arial" w:cs="Arial"/>
          <w:sz w:val="20"/>
          <w:szCs w:val="20"/>
        </w:rPr>
        <w:t xml:space="preserve">to </w:t>
      </w:r>
      <w:r w:rsidR="00A94020">
        <w:rPr>
          <w:rFonts w:ascii="Arial" w:hAnsi="Arial" w:cs="Arial"/>
          <w:sz w:val="20"/>
          <w:szCs w:val="20"/>
        </w:rPr>
        <w:t>identify</w:t>
      </w:r>
      <w:r w:rsidR="00AE44DD" w:rsidRPr="00831B42">
        <w:rPr>
          <w:rFonts w:ascii="Arial" w:hAnsi="Arial" w:cs="Arial"/>
          <w:sz w:val="20"/>
          <w:szCs w:val="20"/>
        </w:rPr>
        <w:t xml:space="preserve"> </w:t>
      </w:r>
      <w:proofErr w:type="spellStart"/>
      <w:r w:rsidR="00AE44DD" w:rsidRPr="00831B42">
        <w:rPr>
          <w:rFonts w:ascii="Arial" w:hAnsi="Arial" w:cs="Arial"/>
          <w:sz w:val="20"/>
          <w:szCs w:val="20"/>
        </w:rPr>
        <w:t>annonaceous</w:t>
      </w:r>
      <w:proofErr w:type="spellEnd"/>
      <w:r w:rsidR="00AE44DD" w:rsidRPr="00831B42">
        <w:rPr>
          <w:rFonts w:ascii="Arial" w:hAnsi="Arial" w:cs="Arial"/>
          <w:sz w:val="20"/>
          <w:szCs w:val="20"/>
        </w:rPr>
        <w:t xml:space="preserve"> </w:t>
      </w:r>
      <w:proofErr w:type="spellStart"/>
      <w:r w:rsidR="00AE44DD" w:rsidRPr="00831B42">
        <w:rPr>
          <w:rFonts w:ascii="Arial" w:hAnsi="Arial" w:cs="Arial"/>
          <w:sz w:val="20"/>
          <w:szCs w:val="20"/>
        </w:rPr>
        <w:t>acetogenins</w:t>
      </w:r>
      <w:proofErr w:type="spellEnd"/>
      <w:r w:rsidR="00AE44DD" w:rsidRPr="00831B42">
        <w:rPr>
          <w:rFonts w:ascii="Arial" w:hAnsi="Arial" w:cs="Arial"/>
          <w:sz w:val="20"/>
          <w:szCs w:val="20"/>
        </w:rPr>
        <w:t>. Microbiological analysis was carried out in accordance with the British Pharmacopoeia</w:t>
      </w:r>
      <w:r w:rsidR="000F7CE7">
        <w:rPr>
          <w:rFonts w:ascii="Arial" w:hAnsi="Arial" w:cs="Arial"/>
          <w:sz w:val="20"/>
          <w:szCs w:val="20"/>
        </w:rPr>
        <w:t xml:space="preserve"> (BP)</w:t>
      </w:r>
      <w:r w:rsidR="00AE44DD" w:rsidRPr="00831B42">
        <w:rPr>
          <w:rFonts w:ascii="Arial" w:hAnsi="Arial" w:cs="Arial"/>
          <w:sz w:val="20"/>
          <w:szCs w:val="20"/>
        </w:rPr>
        <w:t>. Concentration of heavy metals were analysed by inductive coupled plasma mass spectrometry (ICP-MS).</w:t>
      </w:r>
    </w:p>
    <w:p w14:paraId="1387B9C3" w14:textId="1A636469" w:rsidR="00C315D2" w:rsidRPr="00C315D2" w:rsidRDefault="00C315D2" w:rsidP="00C315D2">
      <w:pPr>
        <w:spacing w:after="0" w:line="240" w:lineRule="auto"/>
        <w:jc w:val="both"/>
        <w:rPr>
          <w:rFonts w:ascii="Calibri" w:eastAsia="Calibri" w:hAnsi="Calibri" w:cs="Times New Roman"/>
          <w:b/>
          <w:bCs/>
          <w:kern w:val="0"/>
          <w:lang w:val="en-GB"/>
          <w14:ligatures w14:val="none"/>
        </w:rPr>
      </w:pPr>
    </w:p>
    <w:p w14:paraId="37683296" w14:textId="0727EFE9" w:rsidR="00C315D2" w:rsidRPr="00AE44DD" w:rsidRDefault="00795378" w:rsidP="00AE44DD">
      <w:pPr>
        <w:spacing w:line="240" w:lineRule="auto"/>
        <w:jc w:val="both"/>
        <w:rPr>
          <w:rFonts w:ascii="Arial" w:hAnsi="Arial" w:cs="Arial"/>
          <w:sz w:val="20"/>
          <w:szCs w:val="20"/>
        </w:rPr>
      </w:pPr>
      <w:r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r w:rsidR="00AE44DD" w:rsidRPr="00831B42">
        <w:rPr>
          <w:rFonts w:ascii="Arial" w:hAnsi="Arial" w:cs="Arial"/>
          <w:sz w:val="20"/>
          <w:szCs w:val="20"/>
        </w:rPr>
        <w:t xml:space="preserve">The total daily dose of </w:t>
      </w:r>
      <w:r w:rsidR="00AE44DD" w:rsidRPr="00831B42">
        <w:rPr>
          <w:rFonts w:ascii="Arial" w:hAnsi="Arial" w:cs="Arial"/>
          <w:i/>
          <w:iCs/>
          <w:sz w:val="20"/>
          <w:szCs w:val="20"/>
        </w:rPr>
        <w:t>A. muricata</w:t>
      </w:r>
      <w:r w:rsidR="00AE44DD" w:rsidRPr="00831B42">
        <w:rPr>
          <w:rFonts w:ascii="Arial" w:hAnsi="Arial" w:cs="Arial"/>
          <w:sz w:val="20"/>
          <w:szCs w:val="20"/>
        </w:rPr>
        <w:t xml:space="preserve"> </w:t>
      </w:r>
      <w:r w:rsidR="00A94020">
        <w:rPr>
          <w:rFonts w:ascii="Arial" w:hAnsi="Arial" w:cs="Arial"/>
          <w:sz w:val="20"/>
          <w:szCs w:val="20"/>
        </w:rPr>
        <w:t>recommended o</w:t>
      </w:r>
      <w:r w:rsidR="003250D5">
        <w:rPr>
          <w:rFonts w:ascii="Arial" w:hAnsi="Arial" w:cs="Arial"/>
          <w:sz w:val="20"/>
          <w:szCs w:val="20"/>
        </w:rPr>
        <w:t xml:space="preserve">n the labels </w:t>
      </w:r>
      <w:r w:rsidR="00AE44DD" w:rsidRPr="00831B42">
        <w:rPr>
          <w:rFonts w:ascii="Arial" w:hAnsi="Arial" w:cs="Arial"/>
          <w:sz w:val="20"/>
          <w:szCs w:val="20"/>
        </w:rPr>
        <w:t xml:space="preserve">ranged from 500-4000 mg daily. Of the seven products analysed, one product contained 57% less than the content reported on the product label. Results from TLC and NMR identified the presence of annonacin in all products. HPLC and LCMS data indicated the annonacin concentration ranged from 1.05 to 3.09 mg/g, with the presence of a range of </w:t>
      </w:r>
      <w:proofErr w:type="spellStart"/>
      <w:r w:rsidR="00AE44DD" w:rsidRPr="00831B42">
        <w:rPr>
          <w:rFonts w:ascii="Arial" w:hAnsi="Arial" w:cs="Arial"/>
          <w:sz w:val="20"/>
          <w:szCs w:val="20"/>
        </w:rPr>
        <w:t>annonaceous</w:t>
      </w:r>
      <w:proofErr w:type="spellEnd"/>
      <w:r w:rsidR="00AE44DD" w:rsidRPr="00831B42">
        <w:rPr>
          <w:rFonts w:ascii="Arial" w:hAnsi="Arial" w:cs="Arial"/>
          <w:sz w:val="20"/>
          <w:szCs w:val="20"/>
        </w:rPr>
        <w:t xml:space="preserve"> </w:t>
      </w:r>
      <w:proofErr w:type="spellStart"/>
      <w:r w:rsidR="00AE44DD" w:rsidRPr="00831B42">
        <w:rPr>
          <w:rFonts w:ascii="Arial" w:hAnsi="Arial" w:cs="Arial"/>
          <w:sz w:val="20"/>
          <w:szCs w:val="20"/>
        </w:rPr>
        <w:t>acetogenins</w:t>
      </w:r>
      <w:proofErr w:type="spellEnd"/>
      <w:r w:rsidR="00AE44DD" w:rsidRPr="00831B42">
        <w:rPr>
          <w:rFonts w:ascii="Arial" w:hAnsi="Arial" w:cs="Arial"/>
          <w:sz w:val="20"/>
          <w:szCs w:val="20"/>
        </w:rPr>
        <w:t>. Microbiological analysis identified one of the seven products with a total aerobic microbial count above the United States Pharmacopoeia</w:t>
      </w:r>
      <w:r w:rsidR="000F7CE7">
        <w:rPr>
          <w:rFonts w:ascii="Arial" w:hAnsi="Arial" w:cs="Arial"/>
          <w:sz w:val="20"/>
          <w:szCs w:val="20"/>
        </w:rPr>
        <w:t xml:space="preserve"> </w:t>
      </w:r>
      <w:r w:rsidR="00235789">
        <w:rPr>
          <w:rFonts w:ascii="Arial" w:hAnsi="Arial" w:cs="Arial"/>
          <w:sz w:val="20"/>
          <w:szCs w:val="20"/>
        </w:rPr>
        <w:t>(USP)</w:t>
      </w:r>
      <w:r w:rsidR="00AE44DD" w:rsidRPr="00831B42">
        <w:rPr>
          <w:rFonts w:ascii="Arial" w:hAnsi="Arial" w:cs="Arial"/>
          <w:sz w:val="20"/>
          <w:szCs w:val="20"/>
        </w:rPr>
        <w:t xml:space="preserve"> limit. All products </w:t>
      </w:r>
      <w:r w:rsidR="006149F4">
        <w:rPr>
          <w:rFonts w:ascii="Arial" w:hAnsi="Arial" w:cs="Arial"/>
          <w:sz w:val="20"/>
          <w:szCs w:val="20"/>
        </w:rPr>
        <w:t xml:space="preserve">were reported to </w:t>
      </w:r>
      <w:r w:rsidR="00AE44DD" w:rsidRPr="00831B42">
        <w:rPr>
          <w:rFonts w:ascii="Arial" w:hAnsi="Arial" w:cs="Arial"/>
          <w:sz w:val="20"/>
          <w:szCs w:val="20"/>
        </w:rPr>
        <w:t>ha</w:t>
      </w:r>
      <w:r w:rsidR="006149F4">
        <w:rPr>
          <w:rFonts w:ascii="Arial" w:hAnsi="Arial" w:cs="Arial"/>
          <w:sz w:val="20"/>
          <w:szCs w:val="20"/>
        </w:rPr>
        <w:t>ve</w:t>
      </w:r>
      <w:r w:rsidR="00AE44DD" w:rsidRPr="00831B42">
        <w:rPr>
          <w:rFonts w:ascii="Arial" w:hAnsi="Arial" w:cs="Arial"/>
          <w:sz w:val="20"/>
          <w:szCs w:val="20"/>
        </w:rPr>
        <w:t xml:space="preserve"> a heavy metal concentration within the </w:t>
      </w:r>
      <w:r w:rsidR="00235789">
        <w:rPr>
          <w:rFonts w:ascii="Arial" w:hAnsi="Arial" w:cs="Arial"/>
          <w:sz w:val="20"/>
          <w:szCs w:val="20"/>
        </w:rPr>
        <w:t xml:space="preserve">BP </w:t>
      </w:r>
      <w:r w:rsidR="00AE44DD" w:rsidRPr="00831B42">
        <w:rPr>
          <w:rFonts w:ascii="Arial" w:hAnsi="Arial" w:cs="Arial"/>
          <w:sz w:val="20"/>
          <w:szCs w:val="20"/>
        </w:rPr>
        <w:t xml:space="preserve">and </w:t>
      </w:r>
      <w:r w:rsidR="00235789">
        <w:rPr>
          <w:rFonts w:ascii="Arial" w:hAnsi="Arial" w:cs="Arial"/>
          <w:sz w:val="20"/>
          <w:szCs w:val="20"/>
        </w:rPr>
        <w:t>USP</w:t>
      </w:r>
      <w:r w:rsidR="00AE44DD" w:rsidRPr="00831B42">
        <w:rPr>
          <w:rFonts w:ascii="Arial" w:hAnsi="Arial" w:cs="Arial"/>
          <w:sz w:val="20"/>
          <w:szCs w:val="20"/>
        </w:rPr>
        <w:t xml:space="preserve"> limit</w:t>
      </w:r>
      <w:r w:rsidR="000F7CE7">
        <w:rPr>
          <w:rFonts w:ascii="Arial" w:hAnsi="Arial" w:cs="Arial"/>
          <w:sz w:val="20"/>
          <w:szCs w:val="20"/>
        </w:rPr>
        <w:t>s</w:t>
      </w:r>
      <w:r w:rsidR="00AE44DD" w:rsidRPr="00831B42">
        <w:rPr>
          <w:rFonts w:ascii="Arial" w:hAnsi="Arial" w:cs="Arial"/>
          <w:sz w:val="20"/>
          <w:szCs w:val="20"/>
        </w:rPr>
        <w:t xml:space="preserve">. </w:t>
      </w:r>
    </w:p>
    <w:p w14:paraId="63D92628" w14:textId="222B7BC3" w:rsidR="00AE44DD" w:rsidRPr="00831B42" w:rsidRDefault="00B8473A" w:rsidP="00AE44DD">
      <w:pPr>
        <w:spacing w:line="240" w:lineRule="auto"/>
        <w:jc w:val="both"/>
        <w:rPr>
          <w:rFonts w:ascii="Arial" w:hAnsi="Arial" w:cs="Arial"/>
          <w:sz w:val="20"/>
          <w:szCs w:val="20"/>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C315D2">
        <w:rPr>
          <w:rFonts w:ascii="Arial" w:eastAsia="Calibri" w:hAnsi="Arial" w:cs="Calibri"/>
          <w:bCs/>
          <w:kern w:val="0"/>
          <w:sz w:val="20"/>
          <w:szCs w:val="20"/>
          <w14:ligatures w14:val="none"/>
        </w:rPr>
        <w:t xml:space="preserve"> </w:t>
      </w:r>
      <w:r w:rsidR="00AE44DD" w:rsidRPr="00831B42">
        <w:rPr>
          <w:rFonts w:ascii="Arial" w:hAnsi="Arial" w:cs="Arial"/>
          <w:sz w:val="20"/>
          <w:szCs w:val="20"/>
        </w:rPr>
        <w:t xml:space="preserve">This study identified a significant variation in quality and safety indictors of </w:t>
      </w:r>
      <w:r w:rsidR="00AE44DD" w:rsidRPr="00831B42">
        <w:rPr>
          <w:rFonts w:ascii="Arial" w:hAnsi="Arial" w:cs="Arial"/>
          <w:i/>
          <w:iCs/>
          <w:sz w:val="20"/>
          <w:szCs w:val="20"/>
        </w:rPr>
        <w:t>A. muricata</w:t>
      </w:r>
      <w:r w:rsidR="00AE44DD" w:rsidRPr="00831B42">
        <w:rPr>
          <w:rFonts w:ascii="Arial" w:hAnsi="Arial" w:cs="Arial"/>
          <w:sz w:val="20"/>
          <w:szCs w:val="20"/>
        </w:rPr>
        <w:t> leaf products evaluated. This may have important implications for clinicians and people living with cancer who choose to use this herbal product.</w:t>
      </w:r>
    </w:p>
    <w:p w14:paraId="1AF10CAD"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2C801966" w14:textId="7AEC6277" w:rsidR="00C315D2" w:rsidRPr="00C315D2" w:rsidRDefault="00C315D2" w:rsidP="00C315D2">
      <w:pPr>
        <w:spacing w:after="0" w:line="240" w:lineRule="auto"/>
        <w:jc w:val="both"/>
        <w:rPr>
          <w:rFonts w:ascii="Arial" w:eastAsia="Calibri" w:hAnsi="Arial" w:cs="Calibri"/>
          <w:bCs/>
          <w:kern w:val="0"/>
          <w:sz w:val="20"/>
          <w:szCs w:val="20"/>
          <w:lang w:val="en-US"/>
          <w14:ligatures w14:val="none"/>
        </w:rPr>
      </w:pPr>
      <w:r w:rsidRPr="00C315D2">
        <w:rPr>
          <w:rFonts w:ascii="Arial" w:eastAsia="Calibri" w:hAnsi="Arial" w:cs="Calibri"/>
          <w:b/>
          <w:kern w:val="0"/>
          <w:sz w:val="20"/>
          <w:szCs w:val="20"/>
          <w14:ligatures w14:val="none"/>
        </w:rPr>
        <w:t>References:</w:t>
      </w:r>
      <w:r w:rsidRPr="00C315D2">
        <w:rPr>
          <w:rFonts w:ascii="Arial" w:eastAsia="Calibri" w:hAnsi="Arial" w:cs="Calibri"/>
          <w:bCs/>
          <w:kern w:val="0"/>
          <w:sz w:val="20"/>
          <w:szCs w:val="20"/>
          <w14:ligatures w14:val="none"/>
        </w:rPr>
        <w:t xml:space="preserve"> </w:t>
      </w:r>
    </w:p>
    <w:p w14:paraId="1BB678AE" w14:textId="77777777" w:rsidR="00AE44DD" w:rsidRPr="00831B42" w:rsidRDefault="00AE44DD" w:rsidP="00935EB7">
      <w:pPr>
        <w:spacing w:after="0" w:line="240" w:lineRule="auto"/>
        <w:jc w:val="both"/>
        <w:rPr>
          <w:rFonts w:ascii="Arial" w:hAnsi="Arial" w:cs="Arial"/>
          <w:sz w:val="20"/>
          <w:szCs w:val="20"/>
        </w:rPr>
      </w:pPr>
      <w:bookmarkStart w:id="0" w:name="_Hlk198292631"/>
      <w:r w:rsidRPr="00831B42">
        <w:rPr>
          <w:rFonts w:ascii="Arial" w:hAnsi="Arial" w:cs="Arial"/>
          <w:sz w:val="20"/>
          <w:szCs w:val="20"/>
        </w:rPr>
        <w:t xml:space="preserve">(1) Clement YN et al (2016) BMC Complement Altern Med 16: 399. </w:t>
      </w:r>
    </w:p>
    <w:p w14:paraId="42407910" w14:textId="77777777" w:rsidR="00AE44DD" w:rsidRPr="00831B42" w:rsidRDefault="00AE44DD" w:rsidP="00935EB7">
      <w:pPr>
        <w:spacing w:after="0" w:line="240" w:lineRule="auto"/>
        <w:jc w:val="both"/>
        <w:rPr>
          <w:rFonts w:ascii="Arial" w:hAnsi="Arial" w:cs="Arial"/>
          <w:sz w:val="20"/>
          <w:szCs w:val="20"/>
        </w:rPr>
      </w:pPr>
      <w:r w:rsidRPr="00831B42">
        <w:rPr>
          <w:rFonts w:ascii="Arial" w:hAnsi="Arial" w:cs="Arial"/>
          <w:sz w:val="20"/>
          <w:szCs w:val="20"/>
        </w:rPr>
        <w:t xml:space="preserve">(2) Foster K et al (2017) Cancer Cause Control 28: 1349–56. </w:t>
      </w:r>
    </w:p>
    <w:p w14:paraId="3E712A16" w14:textId="77777777" w:rsidR="00AE44DD" w:rsidRPr="00831B42" w:rsidRDefault="00AE44DD" w:rsidP="00935EB7">
      <w:pPr>
        <w:spacing w:after="0" w:line="240" w:lineRule="auto"/>
        <w:jc w:val="both"/>
        <w:rPr>
          <w:rFonts w:ascii="Arial" w:hAnsi="Arial" w:cs="Arial"/>
          <w:sz w:val="20"/>
          <w:szCs w:val="20"/>
        </w:rPr>
      </w:pPr>
      <w:r w:rsidRPr="00831B42">
        <w:rPr>
          <w:rFonts w:ascii="Arial" w:hAnsi="Arial" w:cs="Arial"/>
          <w:sz w:val="20"/>
          <w:szCs w:val="20"/>
        </w:rPr>
        <w:t xml:space="preserve">(3) Hansra DM et al (2014) Adv Breast Cancer Res 3: 84. </w:t>
      </w:r>
    </w:p>
    <w:p w14:paraId="16686E94" w14:textId="77777777" w:rsidR="00AE44DD" w:rsidRPr="00831B42" w:rsidRDefault="00AE44DD" w:rsidP="00935EB7">
      <w:pPr>
        <w:spacing w:after="0" w:line="240" w:lineRule="auto"/>
        <w:jc w:val="both"/>
        <w:rPr>
          <w:rFonts w:ascii="Arial" w:hAnsi="Arial" w:cs="Arial"/>
          <w:sz w:val="20"/>
          <w:szCs w:val="20"/>
        </w:rPr>
      </w:pPr>
      <w:r w:rsidRPr="00831B42">
        <w:rPr>
          <w:rFonts w:ascii="Arial" w:hAnsi="Arial" w:cs="Arial"/>
          <w:sz w:val="20"/>
          <w:szCs w:val="20"/>
        </w:rPr>
        <w:t xml:space="preserve">(4) </w:t>
      </w:r>
      <w:proofErr w:type="spellStart"/>
      <w:r w:rsidRPr="00831B42">
        <w:rPr>
          <w:rFonts w:ascii="Arial" w:hAnsi="Arial" w:cs="Arial"/>
          <w:sz w:val="20"/>
          <w:szCs w:val="20"/>
        </w:rPr>
        <w:t>Indrawati</w:t>
      </w:r>
      <w:proofErr w:type="spellEnd"/>
      <w:r w:rsidRPr="00831B42">
        <w:rPr>
          <w:rFonts w:ascii="Arial" w:hAnsi="Arial" w:cs="Arial"/>
          <w:sz w:val="20"/>
          <w:szCs w:val="20"/>
        </w:rPr>
        <w:t xml:space="preserve"> L et al (2017) Asia Pac J Clin </w:t>
      </w:r>
      <w:proofErr w:type="spellStart"/>
      <w:r w:rsidRPr="00831B42">
        <w:rPr>
          <w:rFonts w:ascii="Arial" w:hAnsi="Arial" w:cs="Arial"/>
          <w:sz w:val="20"/>
          <w:szCs w:val="20"/>
        </w:rPr>
        <w:t>Nutr</w:t>
      </w:r>
      <w:proofErr w:type="spellEnd"/>
      <w:r w:rsidRPr="00831B42">
        <w:rPr>
          <w:rFonts w:ascii="Arial" w:hAnsi="Arial" w:cs="Arial"/>
          <w:sz w:val="20"/>
          <w:szCs w:val="20"/>
        </w:rPr>
        <w:t xml:space="preserve"> 26: 606–12. </w:t>
      </w:r>
    </w:p>
    <w:p w14:paraId="3F66DC69" w14:textId="77777777" w:rsidR="00AE44DD" w:rsidRPr="00831B42" w:rsidRDefault="00AE44DD" w:rsidP="00935EB7">
      <w:pPr>
        <w:spacing w:after="0" w:line="240" w:lineRule="auto"/>
        <w:jc w:val="both"/>
        <w:rPr>
          <w:rFonts w:ascii="Arial" w:hAnsi="Arial" w:cs="Arial"/>
          <w:sz w:val="20"/>
          <w:szCs w:val="20"/>
        </w:rPr>
      </w:pPr>
      <w:r w:rsidRPr="00831B42">
        <w:rPr>
          <w:rFonts w:ascii="Arial" w:hAnsi="Arial" w:cs="Arial"/>
          <w:sz w:val="20"/>
          <w:szCs w:val="20"/>
        </w:rPr>
        <w:t xml:space="preserve">(5) </w:t>
      </w:r>
      <w:proofErr w:type="spellStart"/>
      <w:r w:rsidRPr="00831B42">
        <w:rPr>
          <w:rFonts w:ascii="Arial" w:hAnsi="Arial" w:cs="Arial"/>
          <w:sz w:val="20"/>
          <w:szCs w:val="20"/>
        </w:rPr>
        <w:t>Surono</w:t>
      </w:r>
      <w:proofErr w:type="spellEnd"/>
      <w:r w:rsidRPr="00831B42">
        <w:rPr>
          <w:rFonts w:ascii="Arial" w:hAnsi="Arial" w:cs="Arial"/>
          <w:sz w:val="20"/>
          <w:szCs w:val="20"/>
        </w:rPr>
        <w:t xml:space="preserve"> IS et al (2017) J Global Pharma Technol 9: 150–7.</w:t>
      </w:r>
    </w:p>
    <w:p w14:paraId="0BB6A316" w14:textId="4D4BE8D5" w:rsidR="00AE44DD" w:rsidRDefault="00AE44DD">
      <w:pPr>
        <w:spacing w:after="0" w:line="240" w:lineRule="auto"/>
        <w:jc w:val="both"/>
        <w:rPr>
          <w:rFonts w:ascii="Arial" w:hAnsi="Arial" w:cs="Arial"/>
          <w:sz w:val="20"/>
          <w:szCs w:val="20"/>
        </w:rPr>
      </w:pPr>
      <w:r w:rsidRPr="00831B42">
        <w:rPr>
          <w:rFonts w:ascii="Arial" w:hAnsi="Arial" w:cs="Arial"/>
          <w:sz w:val="20"/>
          <w:szCs w:val="20"/>
        </w:rPr>
        <w:t xml:space="preserve">(6) Rady I et al (2018) Oxidative Med Cell </w:t>
      </w:r>
      <w:proofErr w:type="spellStart"/>
      <w:r w:rsidRPr="00831B42">
        <w:rPr>
          <w:rFonts w:ascii="Arial" w:hAnsi="Arial" w:cs="Arial"/>
          <w:sz w:val="20"/>
          <w:szCs w:val="20"/>
        </w:rPr>
        <w:t>Longev</w:t>
      </w:r>
      <w:proofErr w:type="spellEnd"/>
      <w:r w:rsidRPr="00831B42">
        <w:rPr>
          <w:rFonts w:ascii="Arial" w:hAnsi="Arial" w:cs="Arial"/>
          <w:sz w:val="20"/>
          <w:szCs w:val="20"/>
        </w:rPr>
        <w:t xml:space="preserve"> 2018: 1–39. </w:t>
      </w:r>
      <w:bookmarkEnd w:id="0"/>
    </w:p>
    <w:p w14:paraId="3E7E7369" w14:textId="164836E2" w:rsidR="00CA478D" w:rsidRPr="00AE44DD" w:rsidRDefault="00CA478D" w:rsidP="00935EB7">
      <w:pPr>
        <w:spacing w:after="0" w:line="240" w:lineRule="auto"/>
        <w:jc w:val="both"/>
        <w:rPr>
          <w:rFonts w:ascii="Arial" w:hAnsi="Arial" w:cs="Arial"/>
          <w:sz w:val="20"/>
          <w:szCs w:val="20"/>
        </w:rPr>
      </w:pPr>
      <w:r w:rsidRPr="00244812">
        <w:rPr>
          <w:rFonts w:ascii="Arial" w:hAnsi="Arial" w:cs="Arial"/>
          <w:sz w:val="20"/>
          <w:szCs w:val="20"/>
        </w:rPr>
        <w:t xml:space="preserve">(7) Chan W et al (2020) J Pharm </w:t>
      </w:r>
      <w:proofErr w:type="spellStart"/>
      <w:r w:rsidRPr="00244812">
        <w:rPr>
          <w:rFonts w:ascii="Arial" w:hAnsi="Arial" w:cs="Arial"/>
          <w:sz w:val="20"/>
          <w:szCs w:val="20"/>
        </w:rPr>
        <w:t>Pharmacol</w:t>
      </w:r>
      <w:proofErr w:type="spellEnd"/>
      <w:r w:rsidRPr="00244812">
        <w:rPr>
          <w:rFonts w:ascii="Arial" w:hAnsi="Arial" w:cs="Arial"/>
          <w:sz w:val="20"/>
          <w:szCs w:val="20"/>
        </w:rPr>
        <w:t xml:space="preserve"> </w:t>
      </w:r>
      <w:r w:rsidR="00244812" w:rsidRPr="00935EB7">
        <w:rPr>
          <w:rFonts w:ascii="Arial" w:hAnsi="Arial" w:cs="Arial"/>
          <w:sz w:val="20"/>
          <w:szCs w:val="20"/>
        </w:rPr>
        <w:t>1:</w:t>
      </w:r>
      <w:r w:rsidRPr="00244812">
        <w:rPr>
          <w:rFonts w:ascii="Arial" w:hAnsi="Arial" w:cs="Arial"/>
          <w:sz w:val="20"/>
          <w:szCs w:val="20"/>
        </w:rPr>
        <w:t>1</w:t>
      </w:r>
      <w:r w:rsidR="00935EB7" w:rsidRPr="00831B42">
        <w:rPr>
          <w:rFonts w:ascii="Arial" w:hAnsi="Arial" w:cs="Arial"/>
          <w:sz w:val="20"/>
          <w:szCs w:val="20"/>
        </w:rPr>
        <w:t>–</w:t>
      </w:r>
      <w:r w:rsidRPr="00244812">
        <w:rPr>
          <w:rFonts w:ascii="Arial" w:hAnsi="Arial" w:cs="Arial"/>
          <w:sz w:val="20"/>
          <w:szCs w:val="20"/>
        </w:rPr>
        <w:t>4</w:t>
      </w:r>
      <w:r w:rsidR="00244812" w:rsidRPr="00244812">
        <w:rPr>
          <w:rFonts w:ascii="Arial" w:hAnsi="Arial" w:cs="Arial"/>
          <w:sz w:val="20"/>
          <w:szCs w:val="20"/>
        </w:rPr>
        <w:t>6.</w:t>
      </w:r>
    </w:p>
    <w:sectPr w:rsidR="00CA478D" w:rsidRPr="00AE44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23F8E"/>
    <w:rsid w:val="000F7CE7"/>
    <w:rsid w:val="00107368"/>
    <w:rsid w:val="00113BB7"/>
    <w:rsid w:val="001378D5"/>
    <w:rsid w:val="001B1416"/>
    <w:rsid w:val="002017E6"/>
    <w:rsid w:val="00235789"/>
    <w:rsid w:val="00244812"/>
    <w:rsid w:val="00280F23"/>
    <w:rsid w:val="00294059"/>
    <w:rsid w:val="002B2BA6"/>
    <w:rsid w:val="003206E4"/>
    <w:rsid w:val="003250D5"/>
    <w:rsid w:val="00345E50"/>
    <w:rsid w:val="003508F6"/>
    <w:rsid w:val="003A6D5C"/>
    <w:rsid w:val="004A51B6"/>
    <w:rsid w:val="00510CF8"/>
    <w:rsid w:val="0052759E"/>
    <w:rsid w:val="00575A29"/>
    <w:rsid w:val="005D54A9"/>
    <w:rsid w:val="00601754"/>
    <w:rsid w:val="006149F4"/>
    <w:rsid w:val="006A34BE"/>
    <w:rsid w:val="006F3BA7"/>
    <w:rsid w:val="006F3F1C"/>
    <w:rsid w:val="007141F2"/>
    <w:rsid w:val="007561D8"/>
    <w:rsid w:val="00795378"/>
    <w:rsid w:val="00796206"/>
    <w:rsid w:val="007C367E"/>
    <w:rsid w:val="008071C5"/>
    <w:rsid w:val="00906D34"/>
    <w:rsid w:val="00923644"/>
    <w:rsid w:val="00933DC9"/>
    <w:rsid w:val="00935EB7"/>
    <w:rsid w:val="00936D4C"/>
    <w:rsid w:val="009523F9"/>
    <w:rsid w:val="009650DF"/>
    <w:rsid w:val="0097290F"/>
    <w:rsid w:val="009A3230"/>
    <w:rsid w:val="009B1CBB"/>
    <w:rsid w:val="009C2027"/>
    <w:rsid w:val="00A0516D"/>
    <w:rsid w:val="00A7204F"/>
    <w:rsid w:val="00A94020"/>
    <w:rsid w:val="00A97D3B"/>
    <w:rsid w:val="00AE44DD"/>
    <w:rsid w:val="00B4721D"/>
    <w:rsid w:val="00B8473A"/>
    <w:rsid w:val="00BA73C9"/>
    <w:rsid w:val="00C21815"/>
    <w:rsid w:val="00C315D2"/>
    <w:rsid w:val="00C353D8"/>
    <w:rsid w:val="00CA478D"/>
    <w:rsid w:val="00CA59AC"/>
    <w:rsid w:val="00CC0FCB"/>
    <w:rsid w:val="00CD759A"/>
    <w:rsid w:val="00CF5A91"/>
    <w:rsid w:val="00D02BB1"/>
    <w:rsid w:val="00D142C0"/>
    <w:rsid w:val="00D45A74"/>
    <w:rsid w:val="00D461E5"/>
    <w:rsid w:val="00D7428F"/>
    <w:rsid w:val="00E420D5"/>
    <w:rsid w:val="00E42F38"/>
    <w:rsid w:val="00E51001"/>
    <w:rsid w:val="00E83CE3"/>
    <w:rsid w:val="00E862D2"/>
    <w:rsid w:val="00EC3746"/>
    <w:rsid w:val="00F539FB"/>
    <w:rsid w:val="00F85528"/>
    <w:rsid w:val="00F878FF"/>
    <w:rsid w:val="00FB40B4"/>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character" w:styleId="CommentReference">
    <w:name w:val="annotation reference"/>
    <w:basedOn w:val="DefaultParagraphFont"/>
    <w:uiPriority w:val="99"/>
    <w:semiHidden/>
    <w:unhideWhenUsed/>
    <w:rsid w:val="00AE44DD"/>
    <w:rPr>
      <w:sz w:val="16"/>
      <w:szCs w:val="16"/>
    </w:rPr>
  </w:style>
  <w:style w:type="paragraph" w:styleId="CommentText">
    <w:name w:val="annotation text"/>
    <w:basedOn w:val="Normal"/>
    <w:link w:val="CommentTextChar"/>
    <w:uiPriority w:val="99"/>
    <w:unhideWhenUsed/>
    <w:rsid w:val="00AE44DD"/>
    <w:pPr>
      <w:spacing w:line="240" w:lineRule="auto"/>
    </w:pPr>
    <w:rPr>
      <w:sz w:val="20"/>
      <w:szCs w:val="20"/>
    </w:rPr>
  </w:style>
  <w:style w:type="character" w:customStyle="1" w:styleId="CommentTextChar">
    <w:name w:val="Comment Text Char"/>
    <w:basedOn w:val="DefaultParagraphFont"/>
    <w:link w:val="CommentText"/>
    <w:uiPriority w:val="99"/>
    <w:rsid w:val="00AE44DD"/>
    <w:rPr>
      <w:sz w:val="20"/>
      <w:szCs w:val="20"/>
    </w:rPr>
  </w:style>
  <w:style w:type="paragraph" w:styleId="CommentSubject">
    <w:name w:val="annotation subject"/>
    <w:basedOn w:val="CommentText"/>
    <w:next w:val="CommentText"/>
    <w:link w:val="CommentSubjectChar"/>
    <w:uiPriority w:val="99"/>
    <w:semiHidden/>
    <w:unhideWhenUsed/>
    <w:rsid w:val="00AE44DD"/>
    <w:rPr>
      <w:b/>
      <w:bCs/>
    </w:rPr>
  </w:style>
  <w:style w:type="character" w:customStyle="1" w:styleId="CommentSubjectChar">
    <w:name w:val="Comment Subject Char"/>
    <w:basedOn w:val="CommentTextChar"/>
    <w:link w:val="CommentSubject"/>
    <w:uiPriority w:val="99"/>
    <w:semiHidden/>
    <w:rsid w:val="00AE44DD"/>
    <w:rPr>
      <w:b/>
      <w:bCs/>
      <w:sz w:val="20"/>
      <w:szCs w:val="20"/>
    </w:rPr>
  </w:style>
  <w:style w:type="paragraph" w:styleId="Revision">
    <w:name w:val="Revision"/>
    <w:hidden/>
    <w:uiPriority w:val="99"/>
    <w:semiHidden/>
    <w:rsid w:val="00CD75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398818">
      <w:bodyDiv w:val="1"/>
      <w:marLeft w:val="0"/>
      <w:marRight w:val="0"/>
      <w:marTop w:val="0"/>
      <w:marBottom w:val="0"/>
      <w:divBdr>
        <w:top w:val="none" w:sz="0" w:space="0" w:color="auto"/>
        <w:left w:val="none" w:sz="0" w:space="0" w:color="auto"/>
        <w:bottom w:val="none" w:sz="0" w:space="0" w:color="auto"/>
        <w:right w:val="none" w:sz="0" w:space="0" w:color="auto"/>
      </w:divBdr>
    </w:div>
    <w:div w:id="184897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Props1.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3.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13</TotalTime>
  <Pages>1</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Jocelin Chan</cp:lastModifiedBy>
  <cp:revision>6</cp:revision>
  <dcterms:created xsi:type="dcterms:W3CDTF">2025-05-28T01:01:00Z</dcterms:created>
  <dcterms:modified xsi:type="dcterms:W3CDTF">2025-05-28T22:18:00Z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