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46" w:rsidRDefault="000B6746" w:rsidP="00855EFB">
      <w:pPr>
        <w:rPr>
          <w:b/>
          <w:sz w:val="20"/>
          <w:szCs w:val="20"/>
        </w:rPr>
      </w:pPr>
      <w:r w:rsidRPr="000B6746">
        <w:rPr>
          <w:b/>
          <w:sz w:val="20"/>
          <w:szCs w:val="20"/>
        </w:rPr>
        <w:t xml:space="preserve">Role of </w:t>
      </w:r>
      <w:proofErr w:type="spellStart"/>
      <w:r w:rsidRPr="000B6746">
        <w:rPr>
          <w:b/>
          <w:sz w:val="20"/>
          <w:szCs w:val="20"/>
        </w:rPr>
        <w:t>autophagy</w:t>
      </w:r>
      <w:proofErr w:type="spellEnd"/>
      <w:r w:rsidRPr="000B6746">
        <w:rPr>
          <w:b/>
          <w:sz w:val="20"/>
          <w:szCs w:val="20"/>
        </w:rPr>
        <w:t xml:space="preserve"> modulators on </w:t>
      </w:r>
      <w:proofErr w:type="spellStart"/>
      <w:r w:rsidR="003655D4" w:rsidRPr="003655D4">
        <w:rPr>
          <w:b/>
          <w:sz w:val="20"/>
          <w:szCs w:val="20"/>
        </w:rPr>
        <w:t>behavioral</w:t>
      </w:r>
      <w:proofErr w:type="spellEnd"/>
      <w:r w:rsidRPr="000B6746">
        <w:rPr>
          <w:b/>
          <w:sz w:val="20"/>
          <w:szCs w:val="20"/>
        </w:rPr>
        <w:t xml:space="preserve"> and molecular changes in Parkinson’s disease</w:t>
      </w:r>
    </w:p>
    <w:p w:rsidR="00A9565E" w:rsidRPr="00855EFB" w:rsidRDefault="00A9565E" w:rsidP="00855EFB">
      <w:pPr>
        <w:rPr>
          <w:sz w:val="20"/>
          <w:szCs w:val="20"/>
        </w:rPr>
      </w:pPr>
      <w:proofErr w:type="spellStart"/>
      <w:r w:rsidRPr="00855EFB">
        <w:rPr>
          <w:sz w:val="20"/>
          <w:szCs w:val="20"/>
        </w:rPr>
        <w:t>Rishi</w:t>
      </w:r>
      <w:proofErr w:type="spellEnd"/>
      <w:r w:rsidRPr="00855EFB">
        <w:rPr>
          <w:sz w:val="20"/>
          <w:szCs w:val="20"/>
        </w:rPr>
        <w:t xml:space="preserve"> Pal</w:t>
      </w:r>
      <w:r w:rsidR="00AC4E7E" w:rsidRPr="00AC4E7E">
        <w:rPr>
          <w:sz w:val="20"/>
          <w:szCs w:val="20"/>
          <w:vertAlign w:val="superscript"/>
        </w:rPr>
        <w:t>1</w:t>
      </w:r>
      <w:r w:rsidRPr="00855EFB">
        <w:rPr>
          <w:sz w:val="20"/>
          <w:szCs w:val="20"/>
        </w:rPr>
        <w:t xml:space="preserve">, </w:t>
      </w:r>
      <w:proofErr w:type="spellStart"/>
      <w:r w:rsidRPr="00855EFB">
        <w:rPr>
          <w:sz w:val="20"/>
          <w:szCs w:val="20"/>
        </w:rPr>
        <w:t>Shipra</w:t>
      </w:r>
      <w:proofErr w:type="spellEnd"/>
      <w:r w:rsidRPr="00855EFB">
        <w:rPr>
          <w:sz w:val="20"/>
          <w:szCs w:val="20"/>
        </w:rPr>
        <w:t xml:space="preserve"> Kartik</w:t>
      </w:r>
      <w:r w:rsidR="00AC4E7E" w:rsidRPr="00AC4E7E">
        <w:rPr>
          <w:sz w:val="20"/>
          <w:szCs w:val="20"/>
          <w:vertAlign w:val="superscript"/>
        </w:rPr>
        <w:t>1</w:t>
      </w:r>
      <w:r w:rsidRPr="00855EFB">
        <w:rPr>
          <w:sz w:val="20"/>
          <w:szCs w:val="20"/>
        </w:rPr>
        <w:t xml:space="preserve">, </w:t>
      </w:r>
      <w:proofErr w:type="spellStart"/>
      <w:r w:rsidRPr="00855EFB">
        <w:rPr>
          <w:sz w:val="20"/>
          <w:szCs w:val="20"/>
        </w:rPr>
        <w:t>Manju</w:t>
      </w:r>
      <w:proofErr w:type="spellEnd"/>
      <w:r w:rsidRPr="00855EFB">
        <w:rPr>
          <w:sz w:val="20"/>
          <w:szCs w:val="20"/>
        </w:rPr>
        <w:t xml:space="preserve"> J Chaudhary</w:t>
      </w:r>
      <w:r w:rsidR="00AC4E7E" w:rsidRPr="00AC4E7E">
        <w:rPr>
          <w:sz w:val="20"/>
          <w:szCs w:val="20"/>
          <w:vertAlign w:val="superscript"/>
        </w:rPr>
        <w:t>2</w:t>
      </w:r>
      <w:r w:rsidRPr="00855EFB">
        <w:rPr>
          <w:sz w:val="20"/>
          <w:szCs w:val="20"/>
        </w:rPr>
        <w:t xml:space="preserve">, </w:t>
      </w:r>
      <w:proofErr w:type="spellStart"/>
      <w:r w:rsidRPr="00855EFB">
        <w:rPr>
          <w:sz w:val="20"/>
          <w:szCs w:val="20"/>
        </w:rPr>
        <w:t>Rajendra</w:t>
      </w:r>
      <w:proofErr w:type="spellEnd"/>
      <w:r w:rsidRPr="00855EFB">
        <w:rPr>
          <w:sz w:val="20"/>
          <w:szCs w:val="20"/>
        </w:rPr>
        <w:t xml:space="preserve"> Nath</w:t>
      </w:r>
      <w:r w:rsidR="00AC4E7E" w:rsidRPr="00AC4E7E">
        <w:rPr>
          <w:sz w:val="20"/>
          <w:szCs w:val="20"/>
          <w:vertAlign w:val="superscript"/>
        </w:rPr>
        <w:t>1</w:t>
      </w:r>
    </w:p>
    <w:p w:rsidR="00A9565E" w:rsidRPr="00855EFB" w:rsidRDefault="00AC4E7E" w:rsidP="00855EFB">
      <w:pPr>
        <w:rPr>
          <w:sz w:val="20"/>
          <w:szCs w:val="20"/>
        </w:rPr>
      </w:pPr>
      <w:r w:rsidRPr="00AC4E7E">
        <w:rPr>
          <w:sz w:val="20"/>
          <w:szCs w:val="20"/>
          <w:vertAlign w:val="superscript"/>
        </w:rPr>
        <w:t>1</w:t>
      </w:r>
      <w:r w:rsidR="00A9565E" w:rsidRPr="00855EFB">
        <w:rPr>
          <w:sz w:val="20"/>
          <w:szCs w:val="20"/>
        </w:rPr>
        <w:t xml:space="preserve">Department of Pharmacology &amp; Therapeutics, King George’s Medical University, UP, Lucknow-226003 and </w:t>
      </w:r>
      <w:r w:rsidRPr="00AC4E7E">
        <w:rPr>
          <w:sz w:val="20"/>
          <w:szCs w:val="20"/>
          <w:vertAlign w:val="superscript"/>
        </w:rPr>
        <w:t>2</w:t>
      </w:r>
      <w:r w:rsidR="00A9565E" w:rsidRPr="00855EFB">
        <w:rPr>
          <w:sz w:val="20"/>
          <w:szCs w:val="20"/>
        </w:rPr>
        <w:t xml:space="preserve">Department of Physiology, BRRA Government Medical College, </w:t>
      </w:r>
      <w:proofErr w:type="spellStart"/>
      <w:r w:rsidR="00A9565E" w:rsidRPr="00855EFB">
        <w:rPr>
          <w:sz w:val="20"/>
          <w:szCs w:val="20"/>
        </w:rPr>
        <w:t>Kannauj</w:t>
      </w:r>
      <w:proofErr w:type="spellEnd"/>
      <w:r w:rsidR="00A9565E" w:rsidRPr="00855EFB">
        <w:rPr>
          <w:sz w:val="20"/>
          <w:szCs w:val="20"/>
        </w:rPr>
        <w:t>, UP, India</w:t>
      </w:r>
    </w:p>
    <w:p w:rsidR="00AC4E7E" w:rsidRDefault="00B113E3" w:rsidP="00AC4E7E">
      <w:pPr>
        <w:spacing w:after="0" w:line="240" w:lineRule="auto"/>
        <w:jc w:val="both"/>
        <w:rPr>
          <w:b/>
          <w:sz w:val="20"/>
          <w:szCs w:val="20"/>
        </w:rPr>
      </w:pPr>
      <w:proofErr w:type="gramStart"/>
      <w:r w:rsidRPr="00855EFB">
        <w:rPr>
          <w:b/>
          <w:sz w:val="20"/>
          <w:szCs w:val="20"/>
        </w:rPr>
        <w:t>Introduction</w:t>
      </w:r>
      <w:r w:rsidR="009E29B5">
        <w:rPr>
          <w:b/>
          <w:sz w:val="20"/>
          <w:szCs w:val="20"/>
        </w:rPr>
        <w:t>.</w:t>
      </w:r>
      <w:proofErr w:type="gramEnd"/>
      <w:r w:rsidR="00AC4E7E">
        <w:rPr>
          <w:b/>
          <w:sz w:val="20"/>
          <w:szCs w:val="20"/>
        </w:rPr>
        <w:t xml:space="preserve"> </w:t>
      </w:r>
      <w:r w:rsidR="00855EFB" w:rsidRPr="00855EFB">
        <w:rPr>
          <w:sz w:val="20"/>
          <w:szCs w:val="20"/>
        </w:rPr>
        <w:t xml:space="preserve">Parkinson’s disease (PD) is  neuromuscular ailment that affect both motor or non motor deficits. It is characterised by </w:t>
      </w:r>
      <w:proofErr w:type="spellStart"/>
      <w:r w:rsidR="00855EFB" w:rsidRPr="00855EFB">
        <w:rPr>
          <w:sz w:val="20"/>
          <w:szCs w:val="20"/>
        </w:rPr>
        <w:t>dopamenergic</w:t>
      </w:r>
      <w:proofErr w:type="spellEnd"/>
      <w:r w:rsidR="00855EFB" w:rsidRPr="00855EFB">
        <w:rPr>
          <w:sz w:val="20"/>
          <w:szCs w:val="20"/>
        </w:rPr>
        <w:t xml:space="preserve"> (DA) </w:t>
      </w:r>
      <w:proofErr w:type="spellStart"/>
      <w:r w:rsidR="00855EFB" w:rsidRPr="00855EFB">
        <w:rPr>
          <w:sz w:val="20"/>
          <w:szCs w:val="20"/>
        </w:rPr>
        <w:t>neoron</w:t>
      </w:r>
      <w:proofErr w:type="spellEnd"/>
      <w:r w:rsidR="00855EFB" w:rsidRPr="00855EFB">
        <w:rPr>
          <w:sz w:val="20"/>
          <w:szCs w:val="20"/>
        </w:rPr>
        <w:t xml:space="preserve"> loss, </w:t>
      </w:r>
      <w:proofErr w:type="spellStart"/>
      <w:r w:rsidR="00855EFB" w:rsidRPr="00855EFB">
        <w:rPr>
          <w:sz w:val="20"/>
          <w:szCs w:val="20"/>
        </w:rPr>
        <w:t>lewey</w:t>
      </w:r>
      <w:proofErr w:type="spellEnd"/>
      <w:r w:rsidR="00855EFB" w:rsidRPr="00855EFB">
        <w:rPr>
          <w:sz w:val="20"/>
          <w:szCs w:val="20"/>
        </w:rPr>
        <w:t xml:space="preserve"> body dysfunction. One of the primary pathogenic mechanisms of PD development is </w:t>
      </w:r>
      <w:proofErr w:type="spellStart"/>
      <w:r w:rsidR="00855EFB" w:rsidRPr="00855EFB">
        <w:rPr>
          <w:sz w:val="20"/>
          <w:szCs w:val="20"/>
        </w:rPr>
        <w:t>autophagy</w:t>
      </w:r>
      <w:proofErr w:type="spellEnd"/>
      <w:r w:rsidR="00855EFB">
        <w:rPr>
          <w:sz w:val="20"/>
          <w:szCs w:val="20"/>
        </w:rPr>
        <w:t xml:space="preserve"> deregulation. The role of </w:t>
      </w:r>
      <w:proofErr w:type="spellStart"/>
      <w:r w:rsidR="00855EFB">
        <w:rPr>
          <w:sz w:val="20"/>
          <w:szCs w:val="20"/>
        </w:rPr>
        <w:t>autophagy</w:t>
      </w:r>
      <w:proofErr w:type="spellEnd"/>
      <w:r w:rsidR="00855EFB">
        <w:rPr>
          <w:sz w:val="20"/>
          <w:szCs w:val="20"/>
        </w:rPr>
        <w:t xml:space="preserve"> is controversial in PD. Therefore, the current study is designed to evaluate the </w:t>
      </w:r>
      <w:r w:rsidR="00AC4E7E">
        <w:rPr>
          <w:sz w:val="20"/>
          <w:szCs w:val="20"/>
        </w:rPr>
        <w:t xml:space="preserve">regulatory </w:t>
      </w:r>
      <w:r w:rsidR="00855EFB">
        <w:rPr>
          <w:sz w:val="20"/>
          <w:szCs w:val="20"/>
        </w:rPr>
        <w:t xml:space="preserve">role of </w:t>
      </w:r>
      <w:proofErr w:type="spellStart"/>
      <w:r w:rsidR="00855EFB">
        <w:rPr>
          <w:sz w:val="20"/>
          <w:szCs w:val="20"/>
        </w:rPr>
        <w:t>autophagy</w:t>
      </w:r>
      <w:proofErr w:type="spellEnd"/>
      <w:r w:rsidR="00855EFB">
        <w:rPr>
          <w:sz w:val="20"/>
          <w:szCs w:val="20"/>
        </w:rPr>
        <w:t xml:space="preserve"> in </w:t>
      </w:r>
      <w:proofErr w:type="spellStart"/>
      <w:r w:rsidR="00855EFB">
        <w:rPr>
          <w:sz w:val="20"/>
          <w:szCs w:val="20"/>
        </w:rPr>
        <w:t>dopamenergic</w:t>
      </w:r>
      <w:proofErr w:type="spellEnd"/>
      <w:r w:rsidR="00855EFB">
        <w:rPr>
          <w:sz w:val="20"/>
          <w:szCs w:val="20"/>
        </w:rPr>
        <w:t xml:space="preserve"> neuron</w:t>
      </w:r>
      <w:r w:rsidR="00AC4E7E">
        <w:rPr>
          <w:sz w:val="20"/>
          <w:szCs w:val="20"/>
        </w:rPr>
        <w:t>al damage in relation to behavioural and molecular changes in PD.</w:t>
      </w:r>
      <w:r w:rsidR="00855EFB">
        <w:rPr>
          <w:sz w:val="20"/>
          <w:szCs w:val="20"/>
        </w:rPr>
        <w:t xml:space="preserve"> </w:t>
      </w:r>
    </w:p>
    <w:p w:rsidR="00764945" w:rsidRPr="00855EFB" w:rsidRDefault="00AC4E7E" w:rsidP="00AC4E7E">
      <w:pPr>
        <w:spacing w:after="0" w:line="240" w:lineRule="auto"/>
        <w:jc w:val="both"/>
        <w:rPr>
          <w:b/>
          <w:sz w:val="20"/>
          <w:szCs w:val="20"/>
        </w:rPr>
      </w:pPr>
      <w:proofErr w:type="gramStart"/>
      <w:r w:rsidRPr="00AC4E7E">
        <w:rPr>
          <w:b/>
          <w:sz w:val="20"/>
          <w:szCs w:val="20"/>
        </w:rPr>
        <w:t>Aim</w:t>
      </w:r>
      <w:r w:rsidR="009E29B5">
        <w:rPr>
          <w:b/>
          <w:sz w:val="20"/>
          <w:szCs w:val="20"/>
        </w:rPr>
        <w:t>.</w:t>
      </w:r>
      <w:proofErr w:type="gramEnd"/>
      <w:r>
        <w:rPr>
          <w:b/>
          <w:sz w:val="20"/>
          <w:szCs w:val="20"/>
        </w:rPr>
        <w:t xml:space="preserve"> </w:t>
      </w:r>
      <w:r w:rsidR="00B113E3" w:rsidRPr="00855EFB">
        <w:rPr>
          <w:sz w:val="20"/>
          <w:szCs w:val="20"/>
        </w:rPr>
        <w:t xml:space="preserve">Present study focuses on the involvement of non-apoptotic </w:t>
      </w:r>
      <w:r w:rsidR="00FC2B74" w:rsidRPr="00855EFB">
        <w:rPr>
          <w:sz w:val="20"/>
          <w:szCs w:val="20"/>
        </w:rPr>
        <w:t xml:space="preserve">dopaminergic neurons </w:t>
      </w:r>
      <w:r w:rsidR="00B113E3" w:rsidRPr="00855EFB">
        <w:rPr>
          <w:sz w:val="20"/>
          <w:szCs w:val="20"/>
        </w:rPr>
        <w:t xml:space="preserve">cell death (autophagy &amp; necroptosis) in </w:t>
      </w:r>
      <w:r w:rsidR="00FC2B74" w:rsidRPr="00855EFB">
        <w:rPr>
          <w:sz w:val="20"/>
          <w:szCs w:val="20"/>
        </w:rPr>
        <w:t>MPTP-induced Parkinson’s</w:t>
      </w:r>
      <w:r w:rsidR="00B113E3" w:rsidRPr="00855EFB">
        <w:rPr>
          <w:sz w:val="20"/>
          <w:szCs w:val="20"/>
        </w:rPr>
        <w:t xml:space="preserve"> mice and their </w:t>
      </w:r>
      <w:r w:rsidR="00FC2B74" w:rsidRPr="00855EFB">
        <w:rPr>
          <w:sz w:val="20"/>
          <w:szCs w:val="20"/>
        </w:rPr>
        <w:t xml:space="preserve">modulation </w:t>
      </w:r>
      <w:r w:rsidR="00B113E3" w:rsidRPr="00855EFB">
        <w:rPr>
          <w:sz w:val="20"/>
          <w:szCs w:val="20"/>
        </w:rPr>
        <w:t xml:space="preserve">by </w:t>
      </w:r>
      <w:r w:rsidR="00FC2B74" w:rsidRPr="00855EFB">
        <w:rPr>
          <w:sz w:val="20"/>
          <w:szCs w:val="20"/>
        </w:rPr>
        <w:t xml:space="preserve">using </w:t>
      </w:r>
      <w:r w:rsidR="00A9565E" w:rsidRPr="00855EFB">
        <w:rPr>
          <w:sz w:val="20"/>
          <w:szCs w:val="20"/>
        </w:rPr>
        <w:t xml:space="preserve">pharmacological </w:t>
      </w:r>
      <w:proofErr w:type="spellStart"/>
      <w:r w:rsidR="00B113E3" w:rsidRPr="00855EFB">
        <w:rPr>
          <w:sz w:val="20"/>
          <w:szCs w:val="20"/>
        </w:rPr>
        <w:t>autophagy</w:t>
      </w:r>
      <w:proofErr w:type="spellEnd"/>
      <w:r w:rsidR="00B113E3" w:rsidRPr="00855EFB">
        <w:rPr>
          <w:sz w:val="20"/>
          <w:szCs w:val="20"/>
        </w:rPr>
        <w:t xml:space="preserve"> inhibitor and inducer. </w:t>
      </w:r>
    </w:p>
    <w:p w:rsidR="00B113E3" w:rsidRPr="00855EFB" w:rsidRDefault="00B113E3" w:rsidP="00AC4E7E">
      <w:pPr>
        <w:spacing w:after="0" w:line="240" w:lineRule="auto"/>
        <w:jc w:val="both"/>
        <w:rPr>
          <w:b/>
          <w:sz w:val="20"/>
          <w:szCs w:val="20"/>
        </w:rPr>
      </w:pPr>
      <w:proofErr w:type="gramStart"/>
      <w:r w:rsidRPr="00855EFB">
        <w:rPr>
          <w:b/>
          <w:sz w:val="20"/>
          <w:szCs w:val="20"/>
        </w:rPr>
        <w:t>Method</w:t>
      </w:r>
      <w:r w:rsidR="009E29B5">
        <w:rPr>
          <w:b/>
          <w:sz w:val="20"/>
          <w:szCs w:val="20"/>
        </w:rPr>
        <w:t>.</w:t>
      </w:r>
      <w:proofErr w:type="gramEnd"/>
      <w:r w:rsidR="00AC4E7E">
        <w:rPr>
          <w:b/>
          <w:sz w:val="20"/>
          <w:szCs w:val="20"/>
        </w:rPr>
        <w:t xml:space="preserve"> </w:t>
      </w:r>
      <w:r w:rsidRPr="00855EFB">
        <w:rPr>
          <w:sz w:val="20"/>
          <w:szCs w:val="20"/>
        </w:rPr>
        <w:t>To establish the contribut</w:t>
      </w:r>
      <w:r w:rsidR="00FC2B74" w:rsidRPr="00855EFB">
        <w:rPr>
          <w:sz w:val="20"/>
          <w:szCs w:val="20"/>
        </w:rPr>
        <w:t xml:space="preserve">ion of autophagy in PD model, </w:t>
      </w:r>
      <w:r w:rsidRPr="00855EFB">
        <w:rPr>
          <w:sz w:val="20"/>
          <w:szCs w:val="20"/>
        </w:rPr>
        <w:t xml:space="preserve">acute dose of MPTP (15mg/kg× 4 times a day at 2 hr. Interval) </w:t>
      </w:r>
      <w:r w:rsidR="00FC2B74" w:rsidRPr="00855EFB">
        <w:rPr>
          <w:sz w:val="20"/>
          <w:szCs w:val="20"/>
        </w:rPr>
        <w:t xml:space="preserve">was administered </w:t>
      </w:r>
      <w:r w:rsidR="0026720F" w:rsidRPr="00855EFB">
        <w:rPr>
          <w:sz w:val="20"/>
          <w:szCs w:val="20"/>
        </w:rPr>
        <w:t xml:space="preserve">in BALB/c mice </w:t>
      </w:r>
      <w:proofErr w:type="spellStart"/>
      <w:r w:rsidR="008C42EB" w:rsidRPr="00855EFB">
        <w:rPr>
          <w:sz w:val="20"/>
          <w:szCs w:val="20"/>
        </w:rPr>
        <w:t>i.p</w:t>
      </w:r>
      <w:proofErr w:type="spellEnd"/>
      <w:r w:rsidR="008C42EB" w:rsidRPr="00855EFB">
        <w:rPr>
          <w:sz w:val="20"/>
          <w:szCs w:val="20"/>
        </w:rPr>
        <w:t xml:space="preserve"> </w:t>
      </w:r>
      <w:r w:rsidR="0026720F" w:rsidRPr="00855EFB">
        <w:rPr>
          <w:sz w:val="20"/>
          <w:szCs w:val="20"/>
        </w:rPr>
        <w:t xml:space="preserve">(18-20 week old and 30-35 g) </w:t>
      </w:r>
      <w:r w:rsidRPr="00855EFB">
        <w:rPr>
          <w:sz w:val="20"/>
          <w:szCs w:val="20"/>
        </w:rPr>
        <w:t xml:space="preserve">to </w:t>
      </w:r>
      <w:r w:rsidR="00FC2B74" w:rsidRPr="00855EFB">
        <w:rPr>
          <w:sz w:val="20"/>
          <w:szCs w:val="20"/>
        </w:rPr>
        <w:t xml:space="preserve">induce </w:t>
      </w:r>
      <w:proofErr w:type="spellStart"/>
      <w:r w:rsidR="00FC2B74" w:rsidRPr="00855EFB">
        <w:rPr>
          <w:sz w:val="20"/>
          <w:szCs w:val="20"/>
        </w:rPr>
        <w:t>dopaminergic</w:t>
      </w:r>
      <w:proofErr w:type="spellEnd"/>
      <w:r w:rsidR="00FC2B74" w:rsidRPr="00855EFB">
        <w:rPr>
          <w:sz w:val="20"/>
          <w:szCs w:val="20"/>
        </w:rPr>
        <w:t xml:space="preserve"> neuron</w:t>
      </w:r>
      <w:r w:rsidRPr="00855EFB">
        <w:rPr>
          <w:sz w:val="20"/>
          <w:szCs w:val="20"/>
        </w:rPr>
        <w:t xml:space="preserve"> degeneration</w:t>
      </w:r>
      <w:r w:rsidR="009E29B5">
        <w:rPr>
          <w:sz w:val="20"/>
          <w:szCs w:val="20"/>
        </w:rPr>
        <w:t xml:space="preserve"> after </w:t>
      </w:r>
      <w:r w:rsidR="008C42EB" w:rsidRPr="00855EFB">
        <w:rPr>
          <w:sz w:val="20"/>
          <w:szCs w:val="20"/>
        </w:rPr>
        <w:t>institutional animal ethics committee (IAEC) approval</w:t>
      </w:r>
      <w:r w:rsidR="009E29B5">
        <w:rPr>
          <w:sz w:val="20"/>
          <w:szCs w:val="20"/>
        </w:rPr>
        <w:t xml:space="preserve"> (88/IAEC/2017)</w:t>
      </w:r>
      <w:r w:rsidR="00FC2B74" w:rsidRPr="00855EFB">
        <w:rPr>
          <w:sz w:val="20"/>
          <w:szCs w:val="20"/>
        </w:rPr>
        <w:t>.</w:t>
      </w:r>
      <w:r w:rsidR="00DA02CE" w:rsidRPr="00855EFB">
        <w:rPr>
          <w:sz w:val="20"/>
          <w:szCs w:val="20"/>
        </w:rPr>
        <w:t xml:space="preserve"> [1]</w:t>
      </w:r>
      <w:r w:rsidRPr="00855EFB">
        <w:rPr>
          <w:sz w:val="20"/>
          <w:szCs w:val="20"/>
        </w:rPr>
        <w:t xml:space="preserve"> </w:t>
      </w:r>
      <w:r w:rsidR="00FC2B74" w:rsidRPr="00855EFB">
        <w:rPr>
          <w:sz w:val="20"/>
          <w:szCs w:val="20"/>
        </w:rPr>
        <w:t xml:space="preserve">The treatment of the </w:t>
      </w:r>
      <w:proofErr w:type="spellStart"/>
      <w:r w:rsidR="00FC2B74" w:rsidRPr="00855EFB">
        <w:rPr>
          <w:sz w:val="20"/>
          <w:szCs w:val="20"/>
        </w:rPr>
        <w:t>autophagy</w:t>
      </w:r>
      <w:proofErr w:type="spellEnd"/>
      <w:r w:rsidR="00FC2B74" w:rsidRPr="00855EFB">
        <w:rPr>
          <w:sz w:val="20"/>
          <w:szCs w:val="20"/>
        </w:rPr>
        <w:t xml:space="preserve"> inducer (</w:t>
      </w:r>
      <w:proofErr w:type="spellStart"/>
      <w:r w:rsidR="00FC2B74" w:rsidRPr="00855EFB">
        <w:rPr>
          <w:sz w:val="20"/>
          <w:szCs w:val="20"/>
        </w:rPr>
        <w:t>Niclosamine</w:t>
      </w:r>
      <w:proofErr w:type="spellEnd"/>
      <w:r w:rsidR="00FC2B74" w:rsidRPr="00855EFB">
        <w:rPr>
          <w:sz w:val="20"/>
          <w:szCs w:val="20"/>
        </w:rPr>
        <w:t xml:space="preserve"> 5-10 mg/kg, </w:t>
      </w:r>
      <w:proofErr w:type="spellStart"/>
      <w:r w:rsidR="00FC2B74" w:rsidRPr="00855EFB">
        <w:rPr>
          <w:sz w:val="20"/>
          <w:szCs w:val="20"/>
        </w:rPr>
        <w:t>i.p</w:t>
      </w:r>
      <w:proofErr w:type="spellEnd"/>
      <w:r w:rsidR="00FC2B74" w:rsidRPr="00855EFB">
        <w:rPr>
          <w:sz w:val="20"/>
          <w:szCs w:val="20"/>
        </w:rPr>
        <w:t xml:space="preserve">.) </w:t>
      </w:r>
      <w:r w:rsidR="00CE13CE" w:rsidRPr="00855EFB">
        <w:rPr>
          <w:sz w:val="20"/>
          <w:szCs w:val="20"/>
        </w:rPr>
        <w:t>and autophagy inhibitor (</w:t>
      </w:r>
      <w:proofErr w:type="spellStart"/>
      <w:r w:rsidR="00CE13CE" w:rsidRPr="00855EFB">
        <w:rPr>
          <w:sz w:val="20"/>
          <w:szCs w:val="20"/>
        </w:rPr>
        <w:t>Chloroquine</w:t>
      </w:r>
      <w:proofErr w:type="spellEnd"/>
      <w:r w:rsidR="00CE13CE" w:rsidRPr="00855EFB">
        <w:rPr>
          <w:sz w:val="20"/>
          <w:szCs w:val="20"/>
        </w:rPr>
        <w:t xml:space="preserve"> 8-16 mg/kg, </w:t>
      </w:r>
      <w:proofErr w:type="spellStart"/>
      <w:r w:rsidR="00CE13CE" w:rsidRPr="00855EFB">
        <w:rPr>
          <w:sz w:val="20"/>
          <w:szCs w:val="20"/>
        </w:rPr>
        <w:t>i.p</w:t>
      </w:r>
      <w:proofErr w:type="spellEnd"/>
      <w:r w:rsidR="00CE13CE" w:rsidRPr="00855EFB">
        <w:rPr>
          <w:sz w:val="20"/>
          <w:szCs w:val="20"/>
        </w:rPr>
        <w:t>.) was administered in PD mice for 14 days.</w:t>
      </w:r>
      <w:r w:rsidR="00DA02CE" w:rsidRPr="00855EFB">
        <w:rPr>
          <w:sz w:val="20"/>
          <w:szCs w:val="20"/>
        </w:rPr>
        <w:t xml:space="preserve"> [2]</w:t>
      </w:r>
      <w:r w:rsidR="00FC2B74" w:rsidRPr="00855EFB">
        <w:rPr>
          <w:sz w:val="20"/>
          <w:szCs w:val="20"/>
        </w:rPr>
        <w:t xml:space="preserve"> </w:t>
      </w:r>
      <w:r w:rsidR="00CE13CE" w:rsidRPr="00855EFB">
        <w:rPr>
          <w:sz w:val="20"/>
          <w:szCs w:val="20"/>
        </w:rPr>
        <w:t xml:space="preserve">On </w:t>
      </w:r>
      <w:proofErr w:type="spellStart"/>
      <w:r w:rsidR="009150AE" w:rsidRPr="00855EFB">
        <w:rPr>
          <w:sz w:val="20"/>
          <w:szCs w:val="20"/>
        </w:rPr>
        <w:t>on</w:t>
      </w:r>
      <w:proofErr w:type="spellEnd"/>
      <w:r w:rsidR="009150AE" w:rsidRPr="00855EFB">
        <w:rPr>
          <w:sz w:val="20"/>
          <w:szCs w:val="20"/>
        </w:rPr>
        <w:t xml:space="preserve"> </w:t>
      </w:r>
      <w:r w:rsidR="00CE13CE" w:rsidRPr="00855EFB">
        <w:rPr>
          <w:sz w:val="20"/>
          <w:szCs w:val="20"/>
        </w:rPr>
        <w:t>day 14,</w:t>
      </w:r>
      <w:r w:rsidR="009150AE" w:rsidRPr="00855EFB">
        <w:rPr>
          <w:sz w:val="20"/>
          <w:szCs w:val="20"/>
        </w:rPr>
        <w:t xml:space="preserve"> mice were assessed for behavioural elevated plus maze (EPM) &amp; open field (OF) tests as well as for motor coordination using rota rod apparatus.</w:t>
      </w:r>
      <w:r w:rsidR="00CE13CE" w:rsidRPr="00855EFB">
        <w:rPr>
          <w:sz w:val="20"/>
          <w:szCs w:val="20"/>
        </w:rPr>
        <w:t xml:space="preserve"> </w:t>
      </w:r>
      <w:r w:rsidR="009150AE" w:rsidRPr="00855EFB">
        <w:rPr>
          <w:sz w:val="20"/>
          <w:szCs w:val="20"/>
        </w:rPr>
        <w:t xml:space="preserve">Animals were sacrificed under </w:t>
      </w:r>
      <w:r w:rsidR="005D7009" w:rsidRPr="00855EFB">
        <w:rPr>
          <w:sz w:val="20"/>
          <w:szCs w:val="20"/>
        </w:rPr>
        <w:t>anaesthesia</w:t>
      </w:r>
      <w:r w:rsidR="009150AE" w:rsidRPr="00855EFB">
        <w:rPr>
          <w:sz w:val="20"/>
          <w:szCs w:val="20"/>
        </w:rPr>
        <w:t xml:space="preserve"> (</w:t>
      </w:r>
      <w:proofErr w:type="spellStart"/>
      <w:r w:rsidR="009150AE" w:rsidRPr="00855EFB">
        <w:rPr>
          <w:sz w:val="20"/>
          <w:szCs w:val="20"/>
        </w:rPr>
        <w:t>pentobarbitone</w:t>
      </w:r>
      <w:proofErr w:type="spellEnd"/>
      <w:r w:rsidR="005D7009" w:rsidRPr="00855EFB">
        <w:rPr>
          <w:sz w:val="20"/>
          <w:szCs w:val="20"/>
        </w:rPr>
        <w:t xml:space="preserve"> sodium</w:t>
      </w:r>
      <w:r w:rsidR="009150AE" w:rsidRPr="00855EFB">
        <w:rPr>
          <w:sz w:val="20"/>
          <w:szCs w:val="20"/>
        </w:rPr>
        <w:t xml:space="preserve"> 80 mg/kg, </w:t>
      </w:r>
      <w:proofErr w:type="spellStart"/>
      <w:r w:rsidR="009150AE" w:rsidRPr="00855EFB">
        <w:rPr>
          <w:sz w:val="20"/>
          <w:szCs w:val="20"/>
        </w:rPr>
        <w:t>i.p</w:t>
      </w:r>
      <w:proofErr w:type="spellEnd"/>
      <w:r w:rsidR="009150AE" w:rsidRPr="00855EFB">
        <w:rPr>
          <w:sz w:val="20"/>
          <w:szCs w:val="20"/>
        </w:rPr>
        <w:t>)</w:t>
      </w:r>
      <w:r w:rsidR="005D7009" w:rsidRPr="00855EFB">
        <w:rPr>
          <w:sz w:val="20"/>
          <w:szCs w:val="20"/>
        </w:rPr>
        <w:t xml:space="preserve">. </w:t>
      </w:r>
      <w:r w:rsidR="009150AE" w:rsidRPr="00855EFB">
        <w:rPr>
          <w:sz w:val="20"/>
          <w:szCs w:val="20"/>
        </w:rPr>
        <w:t>The</w:t>
      </w:r>
      <w:r w:rsidR="005D7009" w:rsidRPr="00855EFB">
        <w:rPr>
          <w:sz w:val="20"/>
          <w:szCs w:val="20"/>
        </w:rPr>
        <w:t>ir</w:t>
      </w:r>
      <w:r w:rsidR="009150AE" w:rsidRPr="00855EFB">
        <w:rPr>
          <w:sz w:val="20"/>
          <w:szCs w:val="20"/>
        </w:rPr>
        <w:t xml:space="preserve"> brain</w:t>
      </w:r>
      <w:r w:rsidR="005D7009" w:rsidRPr="00855EFB">
        <w:rPr>
          <w:sz w:val="20"/>
          <w:szCs w:val="20"/>
        </w:rPr>
        <w:t>s were removed</w:t>
      </w:r>
      <w:r w:rsidR="009150AE" w:rsidRPr="00855EFB">
        <w:rPr>
          <w:sz w:val="20"/>
          <w:szCs w:val="20"/>
        </w:rPr>
        <w:t xml:space="preserve"> </w:t>
      </w:r>
      <w:r w:rsidR="005D7009" w:rsidRPr="00855EFB">
        <w:rPr>
          <w:sz w:val="20"/>
          <w:szCs w:val="20"/>
        </w:rPr>
        <w:t xml:space="preserve">and </w:t>
      </w:r>
      <w:proofErr w:type="spellStart"/>
      <w:r w:rsidR="005D7009" w:rsidRPr="00855EFB">
        <w:rPr>
          <w:sz w:val="20"/>
          <w:szCs w:val="20"/>
        </w:rPr>
        <w:t>substantia</w:t>
      </w:r>
      <w:proofErr w:type="spellEnd"/>
      <w:r w:rsidR="005D7009" w:rsidRPr="00855EFB">
        <w:rPr>
          <w:sz w:val="20"/>
          <w:szCs w:val="20"/>
        </w:rPr>
        <w:t xml:space="preserve"> </w:t>
      </w:r>
      <w:proofErr w:type="spellStart"/>
      <w:r w:rsidR="005D7009" w:rsidRPr="00855EFB">
        <w:rPr>
          <w:sz w:val="20"/>
          <w:szCs w:val="20"/>
        </w:rPr>
        <w:t>nigra</w:t>
      </w:r>
      <w:proofErr w:type="spellEnd"/>
      <w:r w:rsidR="005D7009" w:rsidRPr="00855EFB">
        <w:rPr>
          <w:sz w:val="20"/>
          <w:szCs w:val="20"/>
        </w:rPr>
        <w:t xml:space="preserve"> par </w:t>
      </w:r>
      <w:proofErr w:type="spellStart"/>
      <w:r w:rsidR="005D7009" w:rsidRPr="00855EFB">
        <w:rPr>
          <w:sz w:val="20"/>
          <w:szCs w:val="20"/>
        </w:rPr>
        <w:t>compacta</w:t>
      </w:r>
      <w:proofErr w:type="spellEnd"/>
      <w:r w:rsidR="005D7009" w:rsidRPr="00855EFB">
        <w:rPr>
          <w:sz w:val="20"/>
          <w:szCs w:val="20"/>
        </w:rPr>
        <w:t xml:space="preserve"> (</w:t>
      </w:r>
      <w:proofErr w:type="spellStart"/>
      <w:r w:rsidR="005D7009" w:rsidRPr="00855EFB">
        <w:rPr>
          <w:sz w:val="20"/>
          <w:szCs w:val="20"/>
        </w:rPr>
        <w:t>SnPc</w:t>
      </w:r>
      <w:proofErr w:type="spellEnd"/>
      <w:r w:rsidR="005D7009" w:rsidRPr="00855EFB">
        <w:rPr>
          <w:sz w:val="20"/>
          <w:szCs w:val="20"/>
        </w:rPr>
        <w:t>) region were isolated. T</w:t>
      </w:r>
      <w:r w:rsidRPr="00855EFB">
        <w:rPr>
          <w:sz w:val="20"/>
          <w:szCs w:val="20"/>
        </w:rPr>
        <w:t>he dopamine level in striatal brain tissu</w:t>
      </w:r>
      <w:r w:rsidR="00FC2B74" w:rsidRPr="00855EFB">
        <w:rPr>
          <w:sz w:val="20"/>
          <w:szCs w:val="20"/>
        </w:rPr>
        <w:t xml:space="preserve">e </w:t>
      </w:r>
      <w:r w:rsidR="00CE13CE" w:rsidRPr="00855EFB">
        <w:rPr>
          <w:sz w:val="20"/>
          <w:szCs w:val="20"/>
        </w:rPr>
        <w:t>was assessed using HPLC technique</w:t>
      </w:r>
      <w:r w:rsidR="00FC2B74" w:rsidRPr="00855EFB">
        <w:rPr>
          <w:sz w:val="20"/>
          <w:szCs w:val="20"/>
        </w:rPr>
        <w:t>.</w:t>
      </w:r>
      <w:r w:rsidRPr="00855EFB">
        <w:rPr>
          <w:sz w:val="20"/>
          <w:szCs w:val="20"/>
        </w:rPr>
        <w:t xml:space="preserve"> Thereafter, DAB staining on mice brain</w:t>
      </w:r>
      <w:r w:rsidR="005D7009" w:rsidRPr="00855EFB">
        <w:rPr>
          <w:sz w:val="20"/>
          <w:szCs w:val="20"/>
        </w:rPr>
        <w:t xml:space="preserve"> (</w:t>
      </w:r>
      <w:proofErr w:type="spellStart"/>
      <w:r w:rsidR="005D7009" w:rsidRPr="00855EFB">
        <w:rPr>
          <w:sz w:val="20"/>
          <w:szCs w:val="20"/>
        </w:rPr>
        <w:t>SnPc</w:t>
      </w:r>
      <w:proofErr w:type="spellEnd"/>
      <w:r w:rsidR="005D7009" w:rsidRPr="00855EFB">
        <w:rPr>
          <w:sz w:val="20"/>
          <w:szCs w:val="20"/>
        </w:rPr>
        <w:t>)</w:t>
      </w:r>
      <w:r w:rsidRPr="00855EFB">
        <w:rPr>
          <w:sz w:val="20"/>
          <w:szCs w:val="20"/>
        </w:rPr>
        <w:t xml:space="preserve"> tissue section at different time point</w:t>
      </w:r>
      <w:r w:rsidR="00FC2B74" w:rsidRPr="00855EFB">
        <w:rPr>
          <w:sz w:val="20"/>
          <w:szCs w:val="20"/>
        </w:rPr>
        <w:t xml:space="preserve"> </w:t>
      </w:r>
      <w:r w:rsidR="005D7009" w:rsidRPr="00855EFB">
        <w:rPr>
          <w:sz w:val="20"/>
          <w:szCs w:val="20"/>
        </w:rPr>
        <w:t xml:space="preserve">assessed for pathological changes using </w:t>
      </w:r>
      <w:r w:rsidR="001C555D" w:rsidRPr="00855EFB">
        <w:rPr>
          <w:sz w:val="20"/>
          <w:szCs w:val="20"/>
        </w:rPr>
        <w:t>haematoxylin</w:t>
      </w:r>
      <w:r w:rsidRPr="00855EFB">
        <w:rPr>
          <w:sz w:val="20"/>
          <w:szCs w:val="20"/>
        </w:rPr>
        <w:t xml:space="preserve"> &amp; </w:t>
      </w:r>
      <w:r w:rsidR="001C555D" w:rsidRPr="00855EFB">
        <w:rPr>
          <w:sz w:val="20"/>
          <w:szCs w:val="20"/>
        </w:rPr>
        <w:t>eosin</w:t>
      </w:r>
      <w:r w:rsidRPr="00855EFB">
        <w:rPr>
          <w:sz w:val="20"/>
          <w:szCs w:val="20"/>
        </w:rPr>
        <w:t xml:space="preserve"> staining</w:t>
      </w:r>
      <w:r w:rsidR="00FC2B74" w:rsidRPr="00855EFB">
        <w:rPr>
          <w:sz w:val="20"/>
          <w:szCs w:val="20"/>
        </w:rPr>
        <w:t xml:space="preserve"> was performed to</w:t>
      </w:r>
      <w:r w:rsidRPr="00855EFB">
        <w:rPr>
          <w:sz w:val="20"/>
          <w:szCs w:val="20"/>
        </w:rPr>
        <w:t xml:space="preserve"> evaluate the tyrosine </w:t>
      </w:r>
      <w:proofErr w:type="spellStart"/>
      <w:r w:rsidRPr="00855EFB">
        <w:rPr>
          <w:sz w:val="20"/>
          <w:szCs w:val="20"/>
        </w:rPr>
        <w:t>hydroxylase</w:t>
      </w:r>
      <w:proofErr w:type="spellEnd"/>
      <w:r w:rsidRPr="00855EFB">
        <w:rPr>
          <w:sz w:val="20"/>
          <w:szCs w:val="20"/>
        </w:rPr>
        <w:t xml:space="preserve"> level (TH) lev</w:t>
      </w:r>
      <w:r w:rsidR="005D7009" w:rsidRPr="00855EFB">
        <w:rPr>
          <w:sz w:val="20"/>
          <w:szCs w:val="20"/>
        </w:rPr>
        <w:t xml:space="preserve">el and </w:t>
      </w:r>
      <w:r w:rsidR="00CE13CE" w:rsidRPr="00855EFB">
        <w:rPr>
          <w:sz w:val="20"/>
          <w:szCs w:val="20"/>
        </w:rPr>
        <w:t xml:space="preserve">morphological </w:t>
      </w:r>
      <w:r w:rsidR="001C555D" w:rsidRPr="00855EFB">
        <w:rPr>
          <w:sz w:val="20"/>
          <w:szCs w:val="20"/>
        </w:rPr>
        <w:t>changes</w:t>
      </w:r>
      <w:r w:rsidR="005D7009" w:rsidRPr="00855EFB">
        <w:rPr>
          <w:sz w:val="20"/>
          <w:szCs w:val="20"/>
        </w:rPr>
        <w:t xml:space="preserve">. </w:t>
      </w:r>
      <w:proofErr w:type="spellStart"/>
      <w:r w:rsidR="001C555D" w:rsidRPr="00855EFB">
        <w:rPr>
          <w:sz w:val="20"/>
          <w:szCs w:val="20"/>
        </w:rPr>
        <w:t>Autophagy</w:t>
      </w:r>
      <w:proofErr w:type="spellEnd"/>
      <w:r w:rsidR="00CE13CE" w:rsidRPr="00855EFB">
        <w:rPr>
          <w:sz w:val="20"/>
          <w:szCs w:val="20"/>
        </w:rPr>
        <w:t xml:space="preserve"> markers </w:t>
      </w:r>
      <w:r w:rsidR="0026720F" w:rsidRPr="00855EFB">
        <w:rPr>
          <w:sz w:val="20"/>
          <w:szCs w:val="20"/>
        </w:rPr>
        <w:t xml:space="preserve">LC-3B </w:t>
      </w:r>
      <w:r w:rsidR="00CE13CE" w:rsidRPr="00855EFB">
        <w:rPr>
          <w:sz w:val="20"/>
          <w:szCs w:val="20"/>
        </w:rPr>
        <w:t>estimation</w:t>
      </w:r>
      <w:r w:rsidR="0026720F" w:rsidRPr="00855EFB">
        <w:rPr>
          <w:sz w:val="20"/>
          <w:szCs w:val="20"/>
        </w:rPr>
        <w:t xml:space="preserve"> </w:t>
      </w:r>
      <w:r w:rsidR="005D7009" w:rsidRPr="00855EFB">
        <w:rPr>
          <w:sz w:val="20"/>
          <w:szCs w:val="20"/>
        </w:rPr>
        <w:t>and Baclin-1 expression were</w:t>
      </w:r>
      <w:r w:rsidR="0026720F" w:rsidRPr="00855EFB">
        <w:rPr>
          <w:sz w:val="20"/>
          <w:szCs w:val="20"/>
        </w:rPr>
        <w:t xml:space="preserve"> assessed</w:t>
      </w:r>
      <w:r w:rsidR="00CE13CE" w:rsidRPr="00855EFB">
        <w:rPr>
          <w:sz w:val="20"/>
          <w:szCs w:val="20"/>
        </w:rPr>
        <w:t xml:space="preserve"> by </w:t>
      </w:r>
      <w:proofErr w:type="spellStart"/>
      <w:r w:rsidR="00CE13CE" w:rsidRPr="00855EFB">
        <w:rPr>
          <w:sz w:val="20"/>
          <w:szCs w:val="20"/>
        </w:rPr>
        <w:t>immunofluorescence</w:t>
      </w:r>
      <w:proofErr w:type="spellEnd"/>
      <w:r w:rsidR="00CE13CE" w:rsidRPr="00855EFB">
        <w:rPr>
          <w:sz w:val="20"/>
          <w:szCs w:val="20"/>
        </w:rPr>
        <w:t xml:space="preserve"> and </w:t>
      </w:r>
      <w:proofErr w:type="spellStart"/>
      <w:r w:rsidR="00CE13CE" w:rsidRPr="00855EFB">
        <w:rPr>
          <w:sz w:val="20"/>
          <w:szCs w:val="20"/>
        </w:rPr>
        <w:t>immunoblotting</w:t>
      </w:r>
      <w:proofErr w:type="spellEnd"/>
      <w:r w:rsidR="00CE13CE" w:rsidRPr="00855EFB">
        <w:rPr>
          <w:sz w:val="20"/>
          <w:szCs w:val="20"/>
        </w:rPr>
        <w:t xml:space="preserve"> technique</w:t>
      </w:r>
      <w:r w:rsidR="005D7009" w:rsidRPr="00855EFB">
        <w:rPr>
          <w:sz w:val="20"/>
          <w:szCs w:val="20"/>
        </w:rPr>
        <w:t>s.</w:t>
      </w:r>
    </w:p>
    <w:p w:rsidR="00B113E3" w:rsidRPr="00AC4E7E" w:rsidRDefault="00B113E3" w:rsidP="00AC4E7E">
      <w:pPr>
        <w:spacing w:after="0" w:line="240" w:lineRule="auto"/>
        <w:jc w:val="both"/>
        <w:rPr>
          <w:b/>
          <w:sz w:val="20"/>
          <w:szCs w:val="20"/>
        </w:rPr>
      </w:pPr>
      <w:proofErr w:type="gramStart"/>
      <w:r w:rsidRPr="00855EFB">
        <w:rPr>
          <w:b/>
          <w:sz w:val="20"/>
          <w:szCs w:val="20"/>
        </w:rPr>
        <w:t>Results</w:t>
      </w:r>
      <w:r w:rsidR="009E29B5">
        <w:rPr>
          <w:b/>
          <w:sz w:val="20"/>
          <w:szCs w:val="20"/>
        </w:rPr>
        <w:t>.</w:t>
      </w:r>
      <w:proofErr w:type="gramEnd"/>
      <w:r w:rsidR="00AC4E7E">
        <w:rPr>
          <w:b/>
          <w:sz w:val="20"/>
          <w:szCs w:val="20"/>
        </w:rPr>
        <w:t xml:space="preserve"> </w:t>
      </w:r>
      <w:r w:rsidR="00CE13CE" w:rsidRPr="00855EFB">
        <w:rPr>
          <w:sz w:val="20"/>
          <w:szCs w:val="20"/>
        </w:rPr>
        <w:t>PD mice shows</w:t>
      </w:r>
      <w:r w:rsidR="00FC2B74" w:rsidRPr="00855EFB">
        <w:rPr>
          <w:sz w:val="20"/>
          <w:szCs w:val="20"/>
        </w:rPr>
        <w:t xml:space="preserve"> marked</w:t>
      </w:r>
      <w:r w:rsidR="002C7344" w:rsidRPr="00855EFB">
        <w:rPr>
          <w:sz w:val="20"/>
          <w:szCs w:val="20"/>
        </w:rPr>
        <w:t xml:space="preserve"> significant (P&lt;0.001)</w:t>
      </w:r>
      <w:r w:rsidR="00FC2B74" w:rsidRPr="00855EFB">
        <w:rPr>
          <w:sz w:val="20"/>
          <w:szCs w:val="20"/>
        </w:rPr>
        <w:t xml:space="preserve"> reduction</w:t>
      </w:r>
      <w:r w:rsidR="000B6746">
        <w:rPr>
          <w:sz w:val="20"/>
          <w:szCs w:val="20"/>
        </w:rPr>
        <w:t xml:space="preserve"> in behavioural parameters in EPM and OF tests as well as motor coordination dysfunction in rota rod apparatus, which is associated with significant reduction in</w:t>
      </w:r>
      <w:r w:rsidR="00FC2B74" w:rsidRPr="00855EFB">
        <w:rPr>
          <w:sz w:val="20"/>
          <w:szCs w:val="20"/>
        </w:rPr>
        <w:t xml:space="preserve"> dopam</w:t>
      </w:r>
      <w:r w:rsidR="002C7344" w:rsidRPr="00855EFB">
        <w:rPr>
          <w:sz w:val="20"/>
          <w:szCs w:val="20"/>
        </w:rPr>
        <w:t>ine level</w:t>
      </w:r>
      <w:r w:rsidR="000B6746">
        <w:rPr>
          <w:sz w:val="20"/>
          <w:szCs w:val="20"/>
        </w:rPr>
        <w:t>s (P&lt;0.01). S</w:t>
      </w:r>
      <w:r w:rsidR="002C7344" w:rsidRPr="00855EFB">
        <w:rPr>
          <w:sz w:val="20"/>
          <w:szCs w:val="20"/>
        </w:rPr>
        <w:t xml:space="preserve">ignificant </w:t>
      </w:r>
      <w:r w:rsidR="00CE13CE" w:rsidRPr="00855EFB">
        <w:rPr>
          <w:sz w:val="20"/>
          <w:szCs w:val="20"/>
        </w:rPr>
        <w:t xml:space="preserve">morphological damage in </w:t>
      </w:r>
      <w:proofErr w:type="spellStart"/>
      <w:r w:rsidR="00CE13CE" w:rsidRPr="00855EFB">
        <w:rPr>
          <w:sz w:val="20"/>
          <w:szCs w:val="20"/>
        </w:rPr>
        <w:t>dopaminergic</w:t>
      </w:r>
      <w:proofErr w:type="spellEnd"/>
      <w:r w:rsidR="00CE13CE" w:rsidRPr="00855EFB">
        <w:rPr>
          <w:sz w:val="20"/>
          <w:szCs w:val="20"/>
        </w:rPr>
        <w:t xml:space="preserve"> neurons</w:t>
      </w:r>
      <w:r w:rsidR="002C7344" w:rsidRPr="00855EFB">
        <w:rPr>
          <w:sz w:val="20"/>
          <w:szCs w:val="20"/>
        </w:rPr>
        <w:t xml:space="preserve"> </w:t>
      </w:r>
      <w:r w:rsidR="000B6746">
        <w:rPr>
          <w:sz w:val="20"/>
          <w:szCs w:val="20"/>
        </w:rPr>
        <w:t xml:space="preserve">was </w:t>
      </w:r>
      <w:r w:rsidR="002C7344" w:rsidRPr="00855EFB">
        <w:rPr>
          <w:sz w:val="20"/>
          <w:szCs w:val="20"/>
        </w:rPr>
        <w:t>assessed by H &amp; E staining</w:t>
      </w:r>
      <w:r w:rsidR="00CE13CE" w:rsidRPr="00855EFB">
        <w:rPr>
          <w:sz w:val="20"/>
          <w:szCs w:val="20"/>
        </w:rPr>
        <w:t xml:space="preserve"> </w:t>
      </w:r>
      <w:r w:rsidR="002C7344" w:rsidRPr="00855EFB">
        <w:rPr>
          <w:sz w:val="20"/>
          <w:szCs w:val="20"/>
        </w:rPr>
        <w:t xml:space="preserve">and tyrosine </w:t>
      </w:r>
      <w:proofErr w:type="spellStart"/>
      <w:r w:rsidR="002C7344" w:rsidRPr="00855EFB">
        <w:rPr>
          <w:sz w:val="20"/>
          <w:szCs w:val="20"/>
        </w:rPr>
        <w:t>hydroxylase</w:t>
      </w:r>
      <w:proofErr w:type="spellEnd"/>
      <w:r w:rsidR="002C7344" w:rsidRPr="00855EFB">
        <w:rPr>
          <w:sz w:val="20"/>
          <w:szCs w:val="20"/>
        </w:rPr>
        <w:t xml:space="preserve"> (TH)</w:t>
      </w:r>
      <w:r w:rsidRPr="00855EFB">
        <w:rPr>
          <w:sz w:val="20"/>
          <w:szCs w:val="20"/>
        </w:rPr>
        <w:t xml:space="preserve"> </w:t>
      </w:r>
      <w:r w:rsidR="002C7344" w:rsidRPr="00855EFB">
        <w:rPr>
          <w:sz w:val="20"/>
          <w:szCs w:val="20"/>
        </w:rPr>
        <w:t xml:space="preserve">enzyme </w:t>
      </w:r>
      <w:r w:rsidRPr="00855EFB">
        <w:rPr>
          <w:sz w:val="20"/>
          <w:szCs w:val="20"/>
        </w:rPr>
        <w:t>level</w:t>
      </w:r>
      <w:r w:rsidR="002C7344" w:rsidRPr="00855EFB">
        <w:rPr>
          <w:sz w:val="20"/>
          <w:szCs w:val="20"/>
        </w:rPr>
        <w:t>s</w:t>
      </w:r>
      <w:r w:rsidR="00CE13CE" w:rsidRPr="00855EFB">
        <w:rPr>
          <w:sz w:val="20"/>
          <w:szCs w:val="20"/>
        </w:rPr>
        <w:t>.</w:t>
      </w:r>
      <w:r w:rsidRPr="00855EFB">
        <w:rPr>
          <w:sz w:val="20"/>
          <w:szCs w:val="20"/>
        </w:rPr>
        <w:t xml:space="preserve"> </w:t>
      </w:r>
      <w:r w:rsidR="001C555D" w:rsidRPr="00855EFB">
        <w:rPr>
          <w:sz w:val="20"/>
          <w:szCs w:val="20"/>
        </w:rPr>
        <w:t xml:space="preserve">Effect of </w:t>
      </w:r>
      <w:proofErr w:type="spellStart"/>
      <w:r w:rsidR="001C555D" w:rsidRPr="00855EFB">
        <w:rPr>
          <w:sz w:val="20"/>
          <w:szCs w:val="20"/>
        </w:rPr>
        <w:t>chloroquine</w:t>
      </w:r>
      <w:proofErr w:type="spellEnd"/>
      <w:r w:rsidR="001C555D" w:rsidRPr="00855EFB">
        <w:rPr>
          <w:sz w:val="20"/>
          <w:szCs w:val="20"/>
        </w:rPr>
        <w:t xml:space="preserve"> </w:t>
      </w:r>
      <w:r w:rsidR="0026720F" w:rsidRPr="00855EFB">
        <w:rPr>
          <w:sz w:val="20"/>
          <w:szCs w:val="20"/>
        </w:rPr>
        <w:t>(</w:t>
      </w:r>
      <w:proofErr w:type="spellStart"/>
      <w:r w:rsidR="0026720F" w:rsidRPr="00855EFB">
        <w:rPr>
          <w:sz w:val="20"/>
          <w:szCs w:val="20"/>
        </w:rPr>
        <w:t>autopgy</w:t>
      </w:r>
      <w:proofErr w:type="spellEnd"/>
      <w:r w:rsidR="0026720F" w:rsidRPr="00855EFB">
        <w:rPr>
          <w:sz w:val="20"/>
          <w:szCs w:val="20"/>
        </w:rPr>
        <w:t xml:space="preserve"> inhibitor) showed protective effects in the pathogenesis of PD as evidenced by the reversal </w:t>
      </w:r>
      <w:r w:rsidR="000B6746">
        <w:rPr>
          <w:sz w:val="20"/>
          <w:szCs w:val="20"/>
        </w:rPr>
        <w:t>behavioural test parameters and</w:t>
      </w:r>
      <w:r w:rsidR="0026720F" w:rsidRPr="00855EFB">
        <w:rPr>
          <w:sz w:val="20"/>
          <w:szCs w:val="20"/>
        </w:rPr>
        <w:t xml:space="preserve"> dopamine levels as</w:t>
      </w:r>
      <w:r w:rsidR="000B6746">
        <w:rPr>
          <w:sz w:val="20"/>
          <w:szCs w:val="20"/>
        </w:rPr>
        <w:t xml:space="preserve"> compared to </w:t>
      </w:r>
      <w:r w:rsidR="0026720F" w:rsidRPr="00855EFB">
        <w:rPr>
          <w:sz w:val="20"/>
          <w:szCs w:val="20"/>
        </w:rPr>
        <w:t xml:space="preserve">MPTP treated animals. </w:t>
      </w:r>
      <w:r w:rsidR="008C42EB" w:rsidRPr="00855EFB">
        <w:rPr>
          <w:sz w:val="20"/>
          <w:szCs w:val="20"/>
        </w:rPr>
        <w:t xml:space="preserve">Role of </w:t>
      </w:r>
      <w:proofErr w:type="spellStart"/>
      <w:r w:rsidR="008C42EB" w:rsidRPr="00855EFB">
        <w:rPr>
          <w:sz w:val="20"/>
          <w:szCs w:val="20"/>
        </w:rPr>
        <w:t>n</w:t>
      </w:r>
      <w:r w:rsidRPr="00855EFB">
        <w:rPr>
          <w:sz w:val="20"/>
          <w:szCs w:val="20"/>
        </w:rPr>
        <w:t>iclo</w:t>
      </w:r>
      <w:r w:rsidR="00CE13CE" w:rsidRPr="00855EFB">
        <w:rPr>
          <w:sz w:val="20"/>
          <w:szCs w:val="20"/>
        </w:rPr>
        <w:t>samide</w:t>
      </w:r>
      <w:proofErr w:type="spellEnd"/>
      <w:r w:rsidR="008C42EB" w:rsidRPr="00855EFB">
        <w:rPr>
          <w:sz w:val="20"/>
          <w:szCs w:val="20"/>
        </w:rPr>
        <w:t xml:space="preserve"> (</w:t>
      </w:r>
      <w:proofErr w:type="spellStart"/>
      <w:r w:rsidR="008C42EB" w:rsidRPr="00855EFB">
        <w:rPr>
          <w:sz w:val="20"/>
          <w:szCs w:val="20"/>
        </w:rPr>
        <w:t>autophagy</w:t>
      </w:r>
      <w:proofErr w:type="spellEnd"/>
      <w:r w:rsidR="008C42EB" w:rsidRPr="00855EFB">
        <w:rPr>
          <w:sz w:val="20"/>
          <w:szCs w:val="20"/>
        </w:rPr>
        <w:t xml:space="preserve"> inducer)</w:t>
      </w:r>
      <w:r w:rsidR="00CE13CE" w:rsidRPr="00855EFB">
        <w:rPr>
          <w:sz w:val="20"/>
          <w:szCs w:val="20"/>
        </w:rPr>
        <w:t xml:space="preserve"> on </w:t>
      </w:r>
      <w:r w:rsidR="008C42EB" w:rsidRPr="00855EFB">
        <w:rPr>
          <w:sz w:val="20"/>
          <w:szCs w:val="20"/>
        </w:rPr>
        <w:t xml:space="preserve">PD pathogenesis </w:t>
      </w:r>
      <w:r w:rsidR="002C7344" w:rsidRPr="00855EFB">
        <w:rPr>
          <w:sz w:val="20"/>
          <w:szCs w:val="20"/>
        </w:rPr>
        <w:t>was assessed</w:t>
      </w:r>
      <w:r w:rsidRPr="00855EFB">
        <w:rPr>
          <w:sz w:val="20"/>
          <w:szCs w:val="20"/>
        </w:rPr>
        <w:t xml:space="preserve"> </w:t>
      </w:r>
      <w:r w:rsidR="002C7344" w:rsidRPr="00855EFB">
        <w:rPr>
          <w:sz w:val="20"/>
          <w:szCs w:val="20"/>
        </w:rPr>
        <w:t>and i</w:t>
      </w:r>
      <w:r w:rsidRPr="00855EFB">
        <w:rPr>
          <w:sz w:val="20"/>
          <w:szCs w:val="20"/>
        </w:rPr>
        <w:t xml:space="preserve">n present study </w:t>
      </w:r>
      <w:r w:rsidR="008C42EB" w:rsidRPr="00855EFB">
        <w:rPr>
          <w:sz w:val="20"/>
          <w:szCs w:val="20"/>
        </w:rPr>
        <w:t xml:space="preserve">it is </w:t>
      </w:r>
      <w:r w:rsidR="0026720F" w:rsidRPr="00855EFB">
        <w:rPr>
          <w:sz w:val="20"/>
          <w:szCs w:val="20"/>
        </w:rPr>
        <w:t xml:space="preserve">demonstrated </w:t>
      </w:r>
      <w:r w:rsidR="000B6746">
        <w:rPr>
          <w:sz w:val="20"/>
          <w:szCs w:val="20"/>
        </w:rPr>
        <w:t xml:space="preserve">the </w:t>
      </w:r>
      <w:r w:rsidRPr="00855EFB">
        <w:rPr>
          <w:sz w:val="20"/>
          <w:szCs w:val="20"/>
        </w:rPr>
        <w:t>relations</w:t>
      </w:r>
      <w:r w:rsidR="008C42EB" w:rsidRPr="00855EFB">
        <w:rPr>
          <w:sz w:val="20"/>
          <w:szCs w:val="20"/>
        </w:rPr>
        <w:t xml:space="preserve">hip between </w:t>
      </w:r>
      <w:proofErr w:type="spellStart"/>
      <w:r w:rsidR="008C42EB" w:rsidRPr="00855EFB">
        <w:rPr>
          <w:sz w:val="20"/>
          <w:szCs w:val="20"/>
        </w:rPr>
        <w:t>autophagy</w:t>
      </w:r>
      <w:proofErr w:type="spellEnd"/>
      <w:r w:rsidR="008C42EB" w:rsidRPr="00855EFB">
        <w:rPr>
          <w:sz w:val="20"/>
          <w:szCs w:val="20"/>
        </w:rPr>
        <w:t xml:space="preserve"> induction </w:t>
      </w:r>
      <w:proofErr w:type="gramStart"/>
      <w:r w:rsidR="008C42EB" w:rsidRPr="00855EFB">
        <w:rPr>
          <w:sz w:val="20"/>
          <w:szCs w:val="20"/>
        </w:rPr>
        <w:t>or</w:t>
      </w:r>
      <w:proofErr w:type="gramEnd"/>
      <w:r w:rsidR="008C42EB" w:rsidRPr="00855EFB">
        <w:rPr>
          <w:sz w:val="20"/>
          <w:szCs w:val="20"/>
        </w:rPr>
        <w:t xml:space="preserve"> </w:t>
      </w:r>
      <w:r w:rsidRPr="00855EFB">
        <w:rPr>
          <w:sz w:val="20"/>
          <w:szCs w:val="20"/>
        </w:rPr>
        <w:t>inhibition</w:t>
      </w:r>
      <w:r w:rsidR="008C42EB" w:rsidRPr="00855EFB">
        <w:rPr>
          <w:sz w:val="20"/>
          <w:szCs w:val="20"/>
        </w:rPr>
        <w:t xml:space="preserve"> </w:t>
      </w:r>
      <w:r w:rsidR="000B6746">
        <w:rPr>
          <w:sz w:val="20"/>
          <w:szCs w:val="20"/>
        </w:rPr>
        <w:t xml:space="preserve">and shown </w:t>
      </w:r>
      <w:r w:rsidR="008C42EB" w:rsidRPr="00855EFB">
        <w:rPr>
          <w:sz w:val="20"/>
          <w:szCs w:val="20"/>
        </w:rPr>
        <w:t>similar results</w:t>
      </w:r>
      <w:r w:rsidRPr="00855EFB">
        <w:rPr>
          <w:sz w:val="20"/>
          <w:szCs w:val="20"/>
        </w:rPr>
        <w:t xml:space="preserve"> in </w:t>
      </w:r>
      <w:r w:rsidR="008C42EB" w:rsidRPr="00855EFB">
        <w:rPr>
          <w:sz w:val="20"/>
          <w:szCs w:val="20"/>
        </w:rPr>
        <w:t xml:space="preserve">progression of </w:t>
      </w:r>
      <w:r w:rsidRPr="00855EFB">
        <w:rPr>
          <w:sz w:val="20"/>
          <w:szCs w:val="20"/>
        </w:rPr>
        <w:t>Parkinson’s d</w:t>
      </w:r>
      <w:r w:rsidR="0026720F" w:rsidRPr="00855EFB">
        <w:rPr>
          <w:sz w:val="20"/>
          <w:szCs w:val="20"/>
        </w:rPr>
        <w:t>isease. T</w:t>
      </w:r>
      <w:r w:rsidRPr="00855EFB">
        <w:rPr>
          <w:sz w:val="20"/>
          <w:szCs w:val="20"/>
        </w:rPr>
        <w:t>he</w:t>
      </w:r>
      <w:r w:rsidR="002C7344" w:rsidRPr="00855EFB">
        <w:rPr>
          <w:sz w:val="20"/>
          <w:szCs w:val="20"/>
        </w:rPr>
        <w:t xml:space="preserve"> </w:t>
      </w:r>
      <w:r w:rsidR="008C42EB" w:rsidRPr="00855EFB">
        <w:rPr>
          <w:sz w:val="20"/>
          <w:szCs w:val="20"/>
        </w:rPr>
        <w:t xml:space="preserve">dose dependent effect of </w:t>
      </w:r>
      <w:proofErr w:type="spellStart"/>
      <w:r w:rsidR="008C42EB" w:rsidRPr="00855EFB">
        <w:rPr>
          <w:sz w:val="20"/>
          <w:szCs w:val="20"/>
        </w:rPr>
        <w:t>autophagy</w:t>
      </w:r>
      <w:proofErr w:type="spellEnd"/>
      <w:r w:rsidR="008C42EB" w:rsidRPr="00855EFB">
        <w:rPr>
          <w:sz w:val="20"/>
          <w:szCs w:val="20"/>
        </w:rPr>
        <w:t xml:space="preserve"> inhibitor (chloroquine) and </w:t>
      </w:r>
      <w:proofErr w:type="spellStart"/>
      <w:r w:rsidR="008C42EB" w:rsidRPr="00855EFB">
        <w:rPr>
          <w:sz w:val="20"/>
          <w:szCs w:val="20"/>
        </w:rPr>
        <w:t>autophagy</w:t>
      </w:r>
      <w:proofErr w:type="spellEnd"/>
      <w:r w:rsidR="008C42EB" w:rsidRPr="00855EFB">
        <w:rPr>
          <w:sz w:val="20"/>
          <w:szCs w:val="20"/>
        </w:rPr>
        <w:t xml:space="preserve"> inducer (</w:t>
      </w:r>
      <w:proofErr w:type="spellStart"/>
      <w:r w:rsidR="008C42EB" w:rsidRPr="00855EFB">
        <w:rPr>
          <w:sz w:val="20"/>
          <w:szCs w:val="20"/>
        </w:rPr>
        <w:t>niclosamide</w:t>
      </w:r>
      <w:proofErr w:type="spellEnd"/>
      <w:r w:rsidR="008C42EB" w:rsidRPr="00855EFB">
        <w:rPr>
          <w:sz w:val="20"/>
          <w:szCs w:val="20"/>
        </w:rPr>
        <w:t>) was observed</w:t>
      </w:r>
      <w:r w:rsidRPr="00855EFB">
        <w:rPr>
          <w:sz w:val="20"/>
          <w:szCs w:val="20"/>
        </w:rPr>
        <w:t xml:space="preserve"> in PD animal model</w:t>
      </w:r>
      <w:r w:rsidR="008C42EB" w:rsidRPr="00855EFB">
        <w:rPr>
          <w:sz w:val="20"/>
          <w:szCs w:val="20"/>
        </w:rPr>
        <w:t>.</w:t>
      </w:r>
      <w:r w:rsidRPr="00855EFB">
        <w:rPr>
          <w:sz w:val="20"/>
          <w:szCs w:val="20"/>
        </w:rPr>
        <w:t xml:space="preserve"> Most significant effect was obse</w:t>
      </w:r>
      <w:r w:rsidR="008C42EB" w:rsidRPr="00855EFB">
        <w:rPr>
          <w:sz w:val="20"/>
          <w:szCs w:val="20"/>
        </w:rPr>
        <w:t xml:space="preserve">rved at </w:t>
      </w:r>
      <w:proofErr w:type="spellStart"/>
      <w:r w:rsidR="008C42EB" w:rsidRPr="00855EFB">
        <w:rPr>
          <w:sz w:val="20"/>
          <w:szCs w:val="20"/>
        </w:rPr>
        <w:t>c</w:t>
      </w:r>
      <w:r w:rsidR="001C555D" w:rsidRPr="00855EFB">
        <w:rPr>
          <w:sz w:val="20"/>
          <w:szCs w:val="20"/>
        </w:rPr>
        <w:t>hloroquine</w:t>
      </w:r>
      <w:proofErr w:type="spellEnd"/>
      <w:r w:rsidR="001C555D" w:rsidRPr="00855EFB">
        <w:rPr>
          <w:sz w:val="20"/>
          <w:szCs w:val="20"/>
        </w:rPr>
        <w:t xml:space="preserve"> (8 mg/kg</w:t>
      </w:r>
      <w:r w:rsidRPr="00855EFB">
        <w:rPr>
          <w:sz w:val="20"/>
          <w:szCs w:val="20"/>
        </w:rPr>
        <w:t>) that rescues and restores the TH positive DA ne</w:t>
      </w:r>
      <w:r w:rsidR="001C555D" w:rsidRPr="00855EFB">
        <w:rPr>
          <w:sz w:val="20"/>
          <w:szCs w:val="20"/>
        </w:rPr>
        <w:t xml:space="preserve">urons in </w:t>
      </w:r>
      <w:proofErr w:type="spellStart"/>
      <w:r w:rsidR="001C555D" w:rsidRPr="00855EFB">
        <w:rPr>
          <w:sz w:val="20"/>
          <w:szCs w:val="20"/>
        </w:rPr>
        <w:t>SNp</w:t>
      </w:r>
      <w:r w:rsidRPr="00855EFB">
        <w:rPr>
          <w:sz w:val="20"/>
          <w:szCs w:val="20"/>
        </w:rPr>
        <w:t>c</w:t>
      </w:r>
      <w:proofErr w:type="spellEnd"/>
      <w:r w:rsidRPr="00855EFB">
        <w:rPr>
          <w:sz w:val="20"/>
          <w:szCs w:val="20"/>
        </w:rPr>
        <w:t xml:space="preserve"> of </w:t>
      </w:r>
      <w:r w:rsidR="001C555D" w:rsidRPr="00855EFB">
        <w:rPr>
          <w:sz w:val="20"/>
          <w:szCs w:val="20"/>
        </w:rPr>
        <w:t xml:space="preserve">PD </w:t>
      </w:r>
      <w:r w:rsidRPr="00855EFB">
        <w:rPr>
          <w:sz w:val="20"/>
          <w:szCs w:val="20"/>
        </w:rPr>
        <w:t xml:space="preserve">mice brain and </w:t>
      </w:r>
      <w:r w:rsidR="00E263E8" w:rsidRPr="00855EFB">
        <w:rPr>
          <w:sz w:val="20"/>
          <w:szCs w:val="20"/>
        </w:rPr>
        <w:t xml:space="preserve">significantly </w:t>
      </w:r>
      <w:r w:rsidRPr="00855EFB">
        <w:rPr>
          <w:sz w:val="20"/>
          <w:szCs w:val="20"/>
        </w:rPr>
        <w:t>diminishes LC-3B and Beclin-1 ex</w:t>
      </w:r>
      <w:r w:rsidR="001C555D" w:rsidRPr="00855EFB">
        <w:rPr>
          <w:sz w:val="20"/>
          <w:szCs w:val="20"/>
        </w:rPr>
        <w:t>pression</w:t>
      </w:r>
      <w:r w:rsidR="00E263E8" w:rsidRPr="00855EFB">
        <w:rPr>
          <w:sz w:val="20"/>
          <w:szCs w:val="20"/>
        </w:rPr>
        <w:t xml:space="preserve"> in PD mice</w:t>
      </w:r>
      <w:r w:rsidRPr="00855EFB">
        <w:rPr>
          <w:sz w:val="20"/>
          <w:szCs w:val="20"/>
        </w:rPr>
        <w:t>.</w:t>
      </w:r>
    </w:p>
    <w:p w:rsidR="009E29B5" w:rsidRDefault="00855EFB" w:rsidP="00AC4E7E">
      <w:pPr>
        <w:spacing w:after="0" w:line="240" w:lineRule="auto"/>
        <w:jc w:val="both"/>
        <w:rPr>
          <w:b/>
          <w:sz w:val="20"/>
          <w:szCs w:val="20"/>
        </w:rPr>
      </w:pPr>
      <w:proofErr w:type="gramStart"/>
      <w:r w:rsidRPr="00855EFB">
        <w:rPr>
          <w:b/>
          <w:sz w:val="20"/>
          <w:szCs w:val="20"/>
        </w:rPr>
        <w:t>Discussion</w:t>
      </w:r>
      <w:r w:rsidR="009E29B5">
        <w:rPr>
          <w:b/>
          <w:sz w:val="20"/>
          <w:szCs w:val="20"/>
        </w:rPr>
        <w:t>.</w:t>
      </w:r>
      <w:proofErr w:type="gramEnd"/>
      <w:r w:rsidR="00AC4E7E">
        <w:rPr>
          <w:b/>
          <w:sz w:val="20"/>
          <w:szCs w:val="20"/>
        </w:rPr>
        <w:t xml:space="preserve"> </w:t>
      </w:r>
      <w:r w:rsidR="001C555D" w:rsidRPr="00855EFB">
        <w:rPr>
          <w:sz w:val="20"/>
          <w:szCs w:val="20"/>
        </w:rPr>
        <w:t xml:space="preserve">Present study suggests that </w:t>
      </w:r>
      <w:r w:rsidR="00B113E3" w:rsidRPr="00855EFB">
        <w:rPr>
          <w:sz w:val="20"/>
          <w:szCs w:val="20"/>
        </w:rPr>
        <w:t xml:space="preserve">that </w:t>
      </w:r>
      <w:proofErr w:type="spellStart"/>
      <w:r w:rsidR="001C555D" w:rsidRPr="00855EFB">
        <w:rPr>
          <w:sz w:val="20"/>
          <w:szCs w:val="20"/>
        </w:rPr>
        <w:t>n</w:t>
      </w:r>
      <w:r w:rsidR="00B113E3" w:rsidRPr="00855EFB">
        <w:rPr>
          <w:sz w:val="20"/>
          <w:szCs w:val="20"/>
        </w:rPr>
        <w:t>iclosamide</w:t>
      </w:r>
      <w:proofErr w:type="spellEnd"/>
      <w:r w:rsidR="00B113E3" w:rsidRPr="00855EFB">
        <w:rPr>
          <w:sz w:val="20"/>
          <w:szCs w:val="20"/>
        </w:rPr>
        <w:t xml:space="preserve"> </w:t>
      </w:r>
      <w:r w:rsidR="001C555D" w:rsidRPr="00855EFB">
        <w:rPr>
          <w:sz w:val="20"/>
          <w:szCs w:val="20"/>
        </w:rPr>
        <w:t xml:space="preserve">shows </w:t>
      </w:r>
      <w:r w:rsidR="00B113E3" w:rsidRPr="00855EFB">
        <w:rPr>
          <w:sz w:val="20"/>
          <w:szCs w:val="20"/>
        </w:rPr>
        <w:t>less protective response</w:t>
      </w:r>
      <w:r w:rsidR="001C555D" w:rsidRPr="00855EFB">
        <w:rPr>
          <w:sz w:val="20"/>
          <w:szCs w:val="20"/>
        </w:rPr>
        <w:t xml:space="preserve"> in </w:t>
      </w:r>
      <w:r w:rsidR="00B113E3" w:rsidRPr="00855EFB">
        <w:rPr>
          <w:sz w:val="20"/>
          <w:szCs w:val="20"/>
        </w:rPr>
        <w:t>compar</w:t>
      </w:r>
      <w:r w:rsidR="001C555D" w:rsidRPr="00855EFB">
        <w:rPr>
          <w:sz w:val="20"/>
          <w:szCs w:val="20"/>
        </w:rPr>
        <w:t>ison to c</w:t>
      </w:r>
      <w:r w:rsidR="00B113E3" w:rsidRPr="00855EFB">
        <w:rPr>
          <w:sz w:val="20"/>
          <w:szCs w:val="20"/>
        </w:rPr>
        <w:t xml:space="preserve">hloroquine in terms of restoration of TH positive DA neurons in </w:t>
      </w:r>
      <w:proofErr w:type="spellStart"/>
      <w:r w:rsidR="00B113E3" w:rsidRPr="00855EFB">
        <w:rPr>
          <w:sz w:val="20"/>
          <w:szCs w:val="20"/>
        </w:rPr>
        <w:t>SnPc</w:t>
      </w:r>
      <w:proofErr w:type="spellEnd"/>
      <w:r w:rsidR="00B113E3" w:rsidRPr="00855EFB">
        <w:rPr>
          <w:sz w:val="20"/>
          <w:szCs w:val="20"/>
        </w:rPr>
        <w:t xml:space="preserve"> of mice brain</w:t>
      </w:r>
      <w:r w:rsidR="00E263E8" w:rsidRPr="00855EFB">
        <w:rPr>
          <w:sz w:val="20"/>
          <w:szCs w:val="20"/>
        </w:rPr>
        <w:t>. I</w:t>
      </w:r>
      <w:r w:rsidR="00B113E3" w:rsidRPr="00855EFB">
        <w:rPr>
          <w:sz w:val="20"/>
          <w:szCs w:val="20"/>
        </w:rPr>
        <w:t>nteresti</w:t>
      </w:r>
      <w:r w:rsidR="00E263E8" w:rsidRPr="00855EFB">
        <w:rPr>
          <w:sz w:val="20"/>
          <w:szCs w:val="20"/>
        </w:rPr>
        <w:t xml:space="preserve">ngly chloroquine maintains </w:t>
      </w:r>
      <w:r w:rsidR="00B113E3" w:rsidRPr="00855EFB">
        <w:rPr>
          <w:sz w:val="20"/>
          <w:szCs w:val="20"/>
        </w:rPr>
        <w:t>upregulation of LC-3B and Beclin-1 expression in PD mice</w:t>
      </w:r>
      <w:r w:rsidR="009150AE" w:rsidRPr="00855EFB">
        <w:rPr>
          <w:sz w:val="20"/>
          <w:szCs w:val="20"/>
        </w:rPr>
        <w:t xml:space="preserve"> as compared with </w:t>
      </w:r>
      <w:proofErr w:type="spellStart"/>
      <w:r w:rsidR="009150AE" w:rsidRPr="00855EFB">
        <w:rPr>
          <w:sz w:val="20"/>
          <w:szCs w:val="20"/>
        </w:rPr>
        <w:t>niclosamide</w:t>
      </w:r>
      <w:proofErr w:type="spellEnd"/>
      <w:r w:rsidR="001C555D" w:rsidRPr="00855EFB">
        <w:rPr>
          <w:sz w:val="20"/>
          <w:szCs w:val="20"/>
        </w:rPr>
        <w:t xml:space="preserve">. We can conclude that dopaminergic neuronal damage </w:t>
      </w:r>
      <w:r w:rsidR="00E263E8" w:rsidRPr="00855EFB">
        <w:rPr>
          <w:sz w:val="20"/>
          <w:szCs w:val="20"/>
        </w:rPr>
        <w:t>may be</w:t>
      </w:r>
      <w:r w:rsidR="001C555D" w:rsidRPr="00855EFB">
        <w:rPr>
          <w:sz w:val="20"/>
          <w:szCs w:val="20"/>
        </w:rPr>
        <w:t xml:space="preserve"> mediated through autophagy</w:t>
      </w:r>
      <w:r w:rsidR="00E263E8" w:rsidRPr="00855EFB">
        <w:rPr>
          <w:sz w:val="20"/>
          <w:szCs w:val="20"/>
        </w:rPr>
        <w:t>-</w:t>
      </w:r>
      <w:r w:rsidR="001C555D" w:rsidRPr="00855EFB">
        <w:rPr>
          <w:sz w:val="20"/>
          <w:szCs w:val="20"/>
        </w:rPr>
        <w:t>mechanism</w:t>
      </w:r>
      <w:r w:rsidR="00E263E8" w:rsidRPr="00855EFB">
        <w:rPr>
          <w:sz w:val="20"/>
          <w:szCs w:val="20"/>
        </w:rPr>
        <w:t>s</w:t>
      </w:r>
      <w:r w:rsidR="001C555D" w:rsidRPr="00855EFB">
        <w:rPr>
          <w:sz w:val="20"/>
          <w:szCs w:val="20"/>
        </w:rPr>
        <w:t xml:space="preserve"> and chloroquine may be use to suppressed neuronal damage in PD.</w:t>
      </w:r>
    </w:p>
    <w:p w:rsidR="00524DBD" w:rsidRPr="009E29B5" w:rsidRDefault="00AA0350" w:rsidP="00AC4E7E">
      <w:pPr>
        <w:spacing w:after="0" w:line="240" w:lineRule="auto"/>
        <w:jc w:val="both"/>
        <w:rPr>
          <w:b/>
          <w:sz w:val="20"/>
          <w:szCs w:val="20"/>
        </w:rPr>
      </w:pPr>
      <w:r w:rsidRPr="00855EFB">
        <w:rPr>
          <w:b/>
          <w:sz w:val="20"/>
          <w:szCs w:val="20"/>
        </w:rPr>
        <w:t>Key words</w:t>
      </w:r>
      <w:r w:rsidR="00524DBD" w:rsidRPr="00855EFB">
        <w:rPr>
          <w:b/>
          <w:sz w:val="20"/>
          <w:szCs w:val="20"/>
        </w:rPr>
        <w:t xml:space="preserve">: </w:t>
      </w:r>
      <w:r w:rsidRPr="00855EFB">
        <w:rPr>
          <w:sz w:val="20"/>
          <w:szCs w:val="20"/>
        </w:rPr>
        <w:t xml:space="preserve">Parkinson's disease, </w:t>
      </w:r>
      <w:proofErr w:type="spellStart"/>
      <w:r w:rsidRPr="00855EFB">
        <w:rPr>
          <w:sz w:val="20"/>
          <w:szCs w:val="20"/>
        </w:rPr>
        <w:t>Autophagy</w:t>
      </w:r>
      <w:proofErr w:type="spellEnd"/>
      <w:r w:rsidRPr="00855EFB">
        <w:rPr>
          <w:sz w:val="20"/>
          <w:szCs w:val="20"/>
        </w:rPr>
        <w:t xml:space="preserve">, </w:t>
      </w:r>
      <w:proofErr w:type="spellStart"/>
      <w:r w:rsidRPr="00855EFB">
        <w:rPr>
          <w:sz w:val="20"/>
          <w:szCs w:val="20"/>
        </w:rPr>
        <w:t>Chloroquine</w:t>
      </w:r>
      <w:proofErr w:type="spellEnd"/>
      <w:r w:rsidRPr="00855EFB">
        <w:rPr>
          <w:sz w:val="20"/>
          <w:szCs w:val="20"/>
        </w:rPr>
        <w:t xml:space="preserve">, </w:t>
      </w:r>
      <w:proofErr w:type="spellStart"/>
      <w:r w:rsidRPr="00855EFB">
        <w:rPr>
          <w:sz w:val="20"/>
          <w:szCs w:val="20"/>
        </w:rPr>
        <w:t>Niclosamide</w:t>
      </w:r>
      <w:proofErr w:type="spellEnd"/>
      <w:r w:rsidRPr="00855EFB">
        <w:rPr>
          <w:sz w:val="20"/>
          <w:szCs w:val="20"/>
        </w:rPr>
        <w:t xml:space="preserve">, MPTP, </w:t>
      </w:r>
      <w:proofErr w:type="spellStart"/>
      <w:r w:rsidRPr="00855EFB">
        <w:rPr>
          <w:sz w:val="20"/>
          <w:szCs w:val="20"/>
        </w:rPr>
        <w:t>Baclin</w:t>
      </w:r>
      <w:proofErr w:type="spellEnd"/>
      <w:r w:rsidRPr="00855EFB">
        <w:rPr>
          <w:sz w:val="20"/>
          <w:szCs w:val="20"/>
        </w:rPr>
        <w:t xml:space="preserve"> gene</w:t>
      </w:r>
    </w:p>
    <w:p w:rsidR="009E29B5" w:rsidRPr="00855EFB" w:rsidRDefault="009E29B5" w:rsidP="00AC4E7E">
      <w:pPr>
        <w:spacing w:after="0" w:line="240" w:lineRule="auto"/>
        <w:jc w:val="both"/>
        <w:rPr>
          <w:b/>
          <w:sz w:val="20"/>
          <w:szCs w:val="20"/>
        </w:rPr>
      </w:pPr>
    </w:p>
    <w:p w:rsidR="00DA02CE" w:rsidRPr="00855EFB" w:rsidRDefault="00DA02CE" w:rsidP="00764945">
      <w:pPr>
        <w:spacing w:after="0" w:line="240" w:lineRule="auto"/>
        <w:jc w:val="both"/>
        <w:rPr>
          <w:rFonts w:ascii="Calibri" w:hAnsi="Calibri" w:cs="Segoe UI Symbol"/>
          <w:sz w:val="20"/>
          <w:szCs w:val="20"/>
        </w:rPr>
      </w:pPr>
      <w:proofErr w:type="spellStart"/>
      <w:r w:rsidRPr="00855EFB">
        <w:rPr>
          <w:rFonts w:ascii="Calibri" w:hAnsi="Calibri" w:cs="Segoe UI Symbol"/>
          <w:sz w:val="20"/>
          <w:szCs w:val="20"/>
        </w:rPr>
        <w:t>Xu</w:t>
      </w:r>
      <w:proofErr w:type="spellEnd"/>
      <w:r w:rsidRPr="00855EFB">
        <w:rPr>
          <w:rFonts w:ascii="Calibri" w:hAnsi="Calibri" w:cs="Segoe UI Symbol"/>
          <w:sz w:val="20"/>
          <w:szCs w:val="20"/>
        </w:rPr>
        <w:t xml:space="preserve"> H, Jens OW, </w:t>
      </w:r>
      <w:proofErr w:type="spellStart"/>
      <w:r w:rsidRPr="00855EFB">
        <w:rPr>
          <w:rFonts w:ascii="Calibri" w:hAnsi="Calibri" w:cs="Segoe UI Symbol"/>
          <w:sz w:val="20"/>
          <w:szCs w:val="20"/>
        </w:rPr>
        <w:t>Fabienne</w:t>
      </w:r>
      <w:proofErr w:type="spellEnd"/>
      <w:r w:rsidRPr="00855EFB">
        <w:rPr>
          <w:rFonts w:ascii="Calibri" w:hAnsi="Calibri" w:cs="Segoe UI Symbol"/>
          <w:sz w:val="20"/>
          <w:szCs w:val="20"/>
        </w:rPr>
        <w:t xml:space="preserve"> CF, </w:t>
      </w:r>
      <w:proofErr w:type="spellStart"/>
      <w:r w:rsidRPr="00855EFB">
        <w:rPr>
          <w:rFonts w:ascii="Calibri" w:hAnsi="Calibri" w:cs="Segoe UI Symbol"/>
          <w:sz w:val="20"/>
          <w:szCs w:val="20"/>
        </w:rPr>
        <w:t>Wolfdieter</w:t>
      </w:r>
      <w:proofErr w:type="spellEnd"/>
      <w:r w:rsidRPr="00855EFB">
        <w:rPr>
          <w:rFonts w:ascii="Calibri" w:hAnsi="Calibri" w:cs="Segoe UI Symbol"/>
          <w:sz w:val="20"/>
          <w:szCs w:val="20"/>
        </w:rPr>
        <w:t xml:space="preserve"> S.  </w:t>
      </w:r>
      <w:r w:rsidR="00A9565E" w:rsidRPr="00855EFB">
        <w:rPr>
          <w:rFonts w:ascii="Calibri" w:hAnsi="Calibri" w:cs="Segoe UI Symbol"/>
          <w:sz w:val="20"/>
          <w:szCs w:val="20"/>
        </w:rPr>
        <w:t xml:space="preserve">(2020) J </w:t>
      </w:r>
      <w:r w:rsidRPr="00855EFB">
        <w:rPr>
          <w:rFonts w:ascii="Calibri" w:hAnsi="Calibri" w:cs="Segoe UI Symbol"/>
          <w:sz w:val="20"/>
          <w:szCs w:val="20"/>
        </w:rPr>
        <w:t xml:space="preserve">Mol Biol. Apr 3; 432(8): 2651–2672. </w:t>
      </w:r>
      <w:proofErr w:type="spellStart"/>
      <w:proofErr w:type="gramStart"/>
      <w:r w:rsidRPr="00855EFB">
        <w:rPr>
          <w:rFonts w:ascii="Calibri" w:hAnsi="Calibri" w:cs="Segoe UI Symbol"/>
          <w:sz w:val="20"/>
          <w:szCs w:val="20"/>
        </w:rPr>
        <w:t>doi</w:t>
      </w:r>
      <w:proofErr w:type="spellEnd"/>
      <w:proofErr w:type="gramEnd"/>
      <w:r w:rsidRPr="00855EFB">
        <w:rPr>
          <w:rFonts w:ascii="Calibri" w:hAnsi="Calibri" w:cs="Segoe UI Symbol"/>
          <w:sz w:val="20"/>
          <w:szCs w:val="20"/>
        </w:rPr>
        <w:t>: 10.1016/j.jmb.2020.01.037</w:t>
      </w:r>
      <w:bookmarkStart w:id="0" w:name="_GoBack"/>
      <w:bookmarkEnd w:id="0"/>
    </w:p>
    <w:p w:rsidR="0021253B" w:rsidRPr="00855EFB" w:rsidRDefault="008B21D3" w:rsidP="00764945">
      <w:pPr>
        <w:spacing w:after="0" w:line="240" w:lineRule="auto"/>
        <w:jc w:val="both"/>
        <w:rPr>
          <w:rFonts w:ascii="Calibri" w:hAnsi="Calibri" w:cs="Segoe UI Symbol"/>
          <w:sz w:val="20"/>
          <w:szCs w:val="20"/>
        </w:rPr>
      </w:pPr>
      <w:proofErr w:type="gramStart"/>
      <w:r w:rsidRPr="00855EFB">
        <w:rPr>
          <w:rFonts w:ascii="Calibri" w:hAnsi="Calibri"/>
          <w:sz w:val="20"/>
          <w:szCs w:val="20"/>
        </w:rPr>
        <w:t>Matthew R, Gloria AB, Taylor FB</w:t>
      </w:r>
      <w:r w:rsidR="0021253B" w:rsidRPr="00855EFB">
        <w:rPr>
          <w:rFonts w:ascii="Calibri" w:hAnsi="Calibri"/>
          <w:sz w:val="20"/>
          <w:szCs w:val="20"/>
        </w:rPr>
        <w:t>, et al</w:t>
      </w:r>
      <w:r w:rsidR="00A9565E" w:rsidRPr="00855EFB">
        <w:rPr>
          <w:rFonts w:ascii="Calibri" w:hAnsi="Calibri"/>
          <w:sz w:val="20"/>
          <w:szCs w:val="20"/>
        </w:rPr>
        <w:t xml:space="preserve">. (2017) </w:t>
      </w:r>
      <w:proofErr w:type="spellStart"/>
      <w:r w:rsidR="0021253B" w:rsidRPr="00855EFB">
        <w:rPr>
          <w:rFonts w:ascii="Calibri" w:hAnsi="Calibri" w:cs="Segoe UI Symbol"/>
          <w:sz w:val="20"/>
          <w:szCs w:val="20"/>
        </w:rPr>
        <w:t>R</w:t>
      </w:r>
      <w:r w:rsidR="00A9565E" w:rsidRPr="00855EFB">
        <w:rPr>
          <w:rFonts w:ascii="Calibri" w:hAnsi="Calibri" w:cs="Segoe UI Symbol"/>
          <w:sz w:val="20"/>
          <w:szCs w:val="20"/>
        </w:rPr>
        <w:t>edox</w:t>
      </w:r>
      <w:proofErr w:type="spellEnd"/>
      <w:r w:rsidR="00A9565E" w:rsidRPr="00855EFB">
        <w:rPr>
          <w:rFonts w:ascii="Calibri" w:hAnsi="Calibri" w:cs="Segoe UI Symbol"/>
          <w:sz w:val="20"/>
          <w:szCs w:val="20"/>
        </w:rPr>
        <w:t xml:space="preserve"> Biol. </w:t>
      </w:r>
      <w:r w:rsidR="0021253B" w:rsidRPr="00855EFB">
        <w:rPr>
          <w:rFonts w:ascii="Calibri" w:hAnsi="Calibri" w:cs="Segoe UI Symbol"/>
          <w:sz w:val="20"/>
          <w:szCs w:val="20"/>
        </w:rPr>
        <w:t>Apr; 11: 73–81.</w:t>
      </w:r>
      <w:proofErr w:type="gramEnd"/>
      <w:r w:rsidR="0021253B" w:rsidRPr="00855EFB">
        <w:rPr>
          <w:rFonts w:ascii="Calibri" w:hAnsi="Calibri" w:cs="Segoe UI Symbol"/>
          <w:sz w:val="20"/>
          <w:szCs w:val="20"/>
        </w:rPr>
        <w:t xml:space="preserve"> </w:t>
      </w:r>
      <w:proofErr w:type="spellStart"/>
      <w:proofErr w:type="gramStart"/>
      <w:r w:rsidR="0021253B" w:rsidRPr="00855EFB">
        <w:rPr>
          <w:rFonts w:ascii="Calibri" w:hAnsi="Calibri" w:cs="Segoe UI Symbol"/>
          <w:sz w:val="20"/>
          <w:szCs w:val="20"/>
        </w:rPr>
        <w:t>doi</w:t>
      </w:r>
      <w:proofErr w:type="spellEnd"/>
      <w:proofErr w:type="gramEnd"/>
      <w:r w:rsidR="0021253B" w:rsidRPr="00855EFB">
        <w:rPr>
          <w:rFonts w:ascii="Calibri" w:hAnsi="Calibri" w:cs="Segoe UI Symbol"/>
          <w:sz w:val="20"/>
          <w:szCs w:val="20"/>
        </w:rPr>
        <w:t>: 10.1016/j.redox.2016.11.004</w:t>
      </w:r>
    </w:p>
    <w:p w:rsidR="00DA02CE" w:rsidRPr="00855EFB" w:rsidRDefault="00DA02CE" w:rsidP="00764945">
      <w:pPr>
        <w:spacing w:after="0" w:line="240" w:lineRule="auto"/>
        <w:jc w:val="both"/>
        <w:rPr>
          <w:rFonts w:ascii="Calibri" w:hAnsi="Calibri" w:cs="Segoe UI Symbol"/>
          <w:sz w:val="20"/>
          <w:szCs w:val="20"/>
        </w:rPr>
      </w:pPr>
      <w:proofErr w:type="spellStart"/>
      <w:r w:rsidRPr="00855EFB">
        <w:rPr>
          <w:rFonts w:ascii="Calibri" w:hAnsi="Calibri" w:cs="Segoe UI Symbol"/>
          <w:sz w:val="20"/>
          <w:szCs w:val="20"/>
        </w:rPr>
        <w:t>Klionsky</w:t>
      </w:r>
      <w:proofErr w:type="spellEnd"/>
      <w:r w:rsidRPr="00855EFB">
        <w:rPr>
          <w:rFonts w:ascii="Calibri" w:hAnsi="Calibri" w:cs="Segoe UI Symbol"/>
          <w:sz w:val="20"/>
          <w:szCs w:val="20"/>
        </w:rPr>
        <w:t xml:space="preserve"> DJ, </w:t>
      </w:r>
      <w:proofErr w:type="spellStart"/>
      <w:r w:rsidRPr="00855EFB">
        <w:rPr>
          <w:rFonts w:ascii="Calibri" w:hAnsi="Calibri" w:cs="Segoe UI Symbol"/>
          <w:sz w:val="20"/>
          <w:szCs w:val="20"/>
        </w:rPr>
        <w:t>Abdalla</w:t>
      </w:r>
      <w:proofErr w:type="spellEnd"/>
      <w:r w:rsidRPr="00855EFB">
        <w:rPr>
          <w:rFonts w:ascii="Calibri" w:hAnsi="Calibri" w:cs="Segoe UI Symbol"/>
          <w:sz w:val="20"/>
          <w:szCs w:val="20"/>
        </w:rPr>
        <w:t xml:space="preserve"> FC</w:t>
      </w:r>
      <w:r w:rsidR="00A9565E" w:rsidRPr="00855EFB">
        <w:rPr>
          <w:rFonts w:ascii="Calibri" w:hAnsi="Calibri" w:cs="Segoe UI Symbol"/>
          <w:sz w:val="20"/>
          <w:szCs w:val="20"/>
        </w:rPr>
        <w:t xml:space="preserve">, </w:t>
      </w:r>
      <w:proofErr w:type="spellStart"/>
      <w:r w:rsidR="00A9565E" w:rsidRPr="00855EFB">
        <w:rPr>
          <w:rFonts w:ascii="Calibri" w:hAnsi="Calibri" w:cs="Segoe UI Symbol"/>
          <w:sz w:val="20"/>
          <w:szCs w:val="20"/>
        </w:rPr>
        <w:t>Abeliovich</w:t>
      </w:r>
      <w:proofErr w:type="spellEnd"/>
      <w:r w:rsidR="00A9565E" w:rsidRPr="00855EFB">
        <w:rPr>
          <w:rFonts w:ascii="Calibri" w:hAnsi="Calibri" w:cs="Segoe UI Symbol"/>
          <w:sz w:val="20"/>
          <w:szCs w:val="20"/>
        </w:rPr>
        <w:t xml:space="preserve"> H et al.  (2012) </w:t>
      </w:r>
      <w:r w:rsidRPr="00855EFB">
        <w:rPr>
          <w:rFonts w:ascii="Calibri" w:hAnsi="Calibri" w:cs="Segoe UI Symbol"/>
          <w:sz w:val="20"/>
          <w:szCs w:val="20"/>
        </w:rPr>
        <w:t>8(4):445–544.</w:t>
      </w:r>
    </w:p>
    <w:p w:rsidR="008B21D3" w:rsidRPr="00855EFB" w:rsidRDefault="008B21D3" w:rsidP="00764945">
      <w:pPr>
        <w:shd w:val="clear" w:color="auto" w:fill="FFFFFF"/>
        <w:spacing w:after="0" w:line="240" w:lineRule="auto"/>
        <w:jc w:val="both"/>
        <w:rPr>
          <w:rFonts w:ascii="Calibri" w:hAnsi="Calibri" w:cs="Segoe UI"/>
          <w:color w:val="000000" w:themeColor="text1"/>
          <w:sz w:val="20"/>
          <w:szCs w:val="20"/>
        </w:rPr>
      </w:pPr>
      <w:hyperlink r:id="rId5" w:history="1">
        <w:proofErr w:type="spellStart"/>
        <w:r w:rsidRPr="00855EFB">
          <w:rPr>
            <w:rStyle w:val="Hyperlink"/>
            <w:rFonts w:ascii="Calibri" w:hAnsi="Calibri" w:cs="Segoe UI Symbol"/>
            <w:color w:val="000000" w:themeColor="text1"/>
            <w:sz w:val="20"/>
            <w:szCs w:val="20"/>
            <w:u w:val="none"/>
          </w:rPr>
          <w:t>Kartik</w:t>
        </w:r>
        <w:proofErr w:type="spellEnd"/>
      </w:hyperlink>
      <w:r w:rsidR="003710F1" w:rsidRPr="00855EFB">
        <w:rPr>
          <w:rFonts w:ascii="Calibri" w:hAnsi="Calibri" w:cs="Segoe UI Symbol"/>
          <w:color w:val="000000" w:themeColor="text1"/>
          <w:sz w:val="20"/>
          <w:szCs w:val="20"/>
        </w:rPr>
        <w:t xml:space="preserve"> S</w:t>
      </w:r>
      <w:r w:rsidRPr="00855EFB">
        <w:rPr>
          <w:rFonts w:ascii="Calibri" w:hAnsi="Calibri" w:cs="Segoe UI Symbol"/>
          <w:color w:val="000000" w:themeColor="text1"/>
          <w:sz w:val="20"/>
          <w:szCs w:val="20"/>
          <w:vertAlign w:val="superscript"/>
        </w:rPr>
        <w:t> </w:t>
      </w:r>
      <w:r w:rsidRPr="00855EFB">
        <w:rPr>
          <w:rFonts w:ascii="Calibri" w:hAnsi="Calibri" w:cs="Segoe UI Symbol"/>
          <w:color w:val="000000" w:themeColor="text1"/>
          <w:sz w:val="20"/>
          <w:szCs w:val="20"/>
        </w:rPr>
        <w:t>, </w:t>
      </w:r>
      <w:hyperlink r:id="rId6" w:history="1">
        <w:r w:rsidRPr="00855EFB">
          <w:rPr>
            <w:rStyle w:val="Hyperlink"/>
            <w:rFonts w:ascii="Calibri" w:hAnsi="Calibri" w:cs="Segoe UI Symbol"/>
            <w:color w:val="000000" w:themeColor="text1"/>
            <w:sz w:val="20"/>
            <w:szCs w:val="20"/>
            <w:u w:val="none"/>
          </w:rPr>
          <w:t>Pal</w:t>
        </w:r>
      </w:hyperlink>
      <w:r w:rsidR="003710F1" w:rsidRPr="00855EFB">
        <w:rPr>
          <w:rFonts w:ascii="Calibri" w:hAnsi="Calibri" w:cs="Segoe UI Symbol"/>
          <w:color w:val="000000" w:themeColor="text1"/>
          <w:sz w:val="20"/>
          <w:szCs w:val="20"/>
        </w:rPr>
        <w:t xml:space="preserve"> R</w:t>
      </w:r>
      <w:r w:rsidRPr="00855EFB">
        <w:rPr>
          <w:rFonts w:ascii="Calibri" w:hAnsi="Calibri" w:cs="Segoe UI Symbol"/>
          <w:color w:val="000000" w:themeColor="text1"/>
          <w:sz w:val="20"/>
          <w:szCs w:val="20"/>
          <w:vertAlign w:val="superscript"/>
        </w:rPr>
        <w:t> </w:t>
      </w:r>
      <w:r w:rsidRPr="00855EFB">
        <w:rPr>
          <w:rFonts w:ascii="Calibri" w:hAnsi="Calibri" w:cs="Segoe UI Symbol"/>
          <w:color w:val="000000" w:themeColor="text1"/>
          <w:sz w:val="20"/>
          <w:szCs w:val="20"/>
        </w:rPr>
        <w:t>, </w:t>
      </w:r>
      <w:hyperlink r:id="rId7" w:history="1">
        <w:r w:rsidRPr="00855EFB">
          <w:rPr>
            <w:rStyle w:val="Hyperlink"/>
            <w:rFonts w:ascii="Calibri" w:hAnsi="Calibri" w:cs="Segoe UI Symbol"/>
            <w:color w:val="000000" w:themeColor="text1"/>
            <w:sz w:val="20"/>
            <w:szCs w:val="20"/>
            <w:u w:val="none"/>
          </w:rPr>
          <w:t xml:space="preserve"> </w:t>
        </w:r>
        <w:proofErr w:type="spellStart"/>
        <w:r w:rsidRPr="00855EFB">
          <w:rPr>
            <w:rStyle w:val="Hyperlink"/>
            <w:rFonts w:ascii="Calibri" w:hAnsi="Calibri" w:cs="Segoe UI Symbol"/>
            <w:color w:val="000000" w:themeColor="text1"/>
            <w:sz w:val="20"/>
            <w:szCs w:val="20"/>
            <w:u w:val="none"/>
          </w:rPr>
          <w:t>Chaudhary</w:t>
        </w:r>
        <w:proofErr w:type="spellEnd"/>
      </w:hyperlink>
      <w:r w:rsidR="003710F1" w:rsidRPr="00855EFB">
        <w:rPr>
          <w:rFonts w:ascii="Calibri" w:hAnsi="Calibri" w:cs="Segoe UI Symbol"/>
          <w:color w:val="000000" w:themeColor="text1"/>
          <w:sz w:val="20"/>
          <w:szCs w:val="20"/>
        </w:rPr>
        <w:t xml:space="preserve"> MJ</w:t>
      </w:r>
      <w:r w:rsidRPr="00855EFB">
        <w:rPr>
          <w:rFonts w:ascii="Calibri" w:hAnsi="Calibri" w:cs="Segoe UI Symbol"/>
          <w:color w:val="000000" w:themeColor="text1"/>
          <w:sz w:val="20"/>
          <w:szCs w:val="20"/>
        </w:rPr>
        <w:t>, </w:t>
      </w:r>
      <w:proofErr w:type="spellStart"/>
      <w:r w:rsidRPr="00855EFB">
        <w:rPr>
          <w:rFonts w:ascii="Calibri" w:hAnsi="Calibri" w:cs="Segoe UI Symbol"/>
          <w:color w:val="000000" w:themeColor="text1"/>
          <w:sz w:val="20"/>
          <w:szCs w:val="20"/>
        </w:rPr>
        <w:fldChar w:fldCharType="begin"/>
      </w:r>
      <w:r w:rsidRPr="00855EFB">
        <w:rPr>
          <w:rFonts w:ascii="Calibri" w:hAnsi="Calibri" w:cs="Segoe UI Symbol"/>
          <w:color w:val="000000" w:themeColor="text1"/>
          <w:sz w:val="20"/>
          <w:szCs w:val="20"/>
        </w:rPr>
        <w:instrText xml:space="preserve"> HYPERLINK "https://pubmed.ncbi.nlm.nih.gov/?term=Nath+R&amp;cauthor_id=36715843" </w:instrText>
      </w:r>
      <w:r w:rsidRPr="00855EFB">
        <w:rPr>
          <w:rFonts w:ascii="Calibri" w:hAnsi="Calibri" w:cs="Segoe UI Symbol"/>
          <w:color w:val="000000" w:themeColor="text1"/>
          <w:sz w:val="20"/>
          <w:szCs w:val="20"/>
        </w:rPr>
        <w:fldChar w:fldCharType="separate"/>
      </w:r>
      <w:r w:rsidRPr="00855EFB">
        <w:rPr>
          <w:rStyle w:val="Hyperlink"/>
          <w:rFonts w:ascii="Calibri" w:hAnsi="Calibri" w:cs="Segoe UI Symbol"/>
          <w:color w:val="000000" w:themeColor="text1"/>
          <w:sz w:val="20"/>
          <w:szCs w:val="20"/>
          <w:u w:val="none"/>
        </w:rPr>
        <w:t>Nath</w:t>
      </w:r>
      <w:proofErr w:type="spellEnd"/>
      <w:r w:rsidRPr="00855EFB">
        <w:rPr>
          <w:rFonts w:ascii="Calibri" w:hAnsi="Calibri" w:cs="Segoe UI Symbol"/>
          <w:color w:val="000000" w:themeColor="text1"/>
          <w:sz w:val="20"/>
          <w:szCs w:val="20"/>
        </w:rPr>
        <w:fldChar w:fldCharType="end"/>
      </w:r>
      <w:r w:rsidR="003710F1" w:rsidRPr="00855EFB">
        <w:rPr>
          <w:rFonts w:ascii="Calibri" w:hAnsi="Calibri" w:cs="Segoe UI Symbol"/>
          <w:color w:val="000000" w:themeColor="text1"/>
          <w:sz w:val="20"/>
          <w:szCs w:val="20"/>
        </w:rPr>
        <w:t xml:space="preserve"> R</w:t>
      </w:r>
      <w:r w:rsidRPr="00855EFB">
        <w:rPr>
          <w:rFonts w:ascii="Calibri" w:hAnsi="Calibri" w:cs="Segoe UI Symbol"/>
          <w:color w:val="000000" w:themeColor="text1"/>
          <w:sz w:val="20"/>
          <w:szCs w:val="20"/>
        </w:rPr>
        <w:t>, </w:t>
      </w:r>
      <w:hyperlink r:id="rId8" w:history="1">
        <w:r w:rsidRPr="00855EFB">
          <w:rPr>
            <w:rStyle w:val="Hyperlink"/>
            <w:rFonts w:ascii="Calibri" w:hAnsi="Calibri" w:cs="Segoe UI Symbol"/>
            <w:color w:val="000000" w:themeColor="text1"/>
            <w:sz w:val="20"/>
            <w:szCs w:val="20"/>
            <w:u w:val="none"/>
          </w:rPr>
          <w:t>Kumar</w:t>
        </w:r>
      </w:hyperlink>
      <w:r w:rsidR="003710F1" w:rsidRPr="00855EFB">
        <w:rPr>
          <w:rFonts w:ascii="Calibri" w:hAnsi="Calibri" w:cs="Segoe UI Symbol"/>
          <w:color w:val="000000" w:themeColor="text1"/>
          <w:sz w:val="20"/>
          <w:szCs w:val="20"/>
        </w:rPr>
        <w:t xml:space="preserve"> M</w:t>
      </w:r>
      <w:r w:rsidRPr="00855EFB">
        <w:rPr>
          <w:rFonts w:ascii="Calibri" w:hAnsi="Calibri" w:cs="Segoe UI Symbol"/>
          <w:color w:val="000000" w:themeColor="text1"/>
          <w:sz w:val="20"/>
          <w:szCs w:val="20"/>
        </w:rPr>
        <w:t>, </w:t>
      </w:r>
      <w:hyperlink r:id="rId9" w:history="1">
        <w:proofErr w:type="spellStart"/>
        <w:r w:rsidRPr="00855EFB">
          <w:rPr>
            <w:rStyle w:val="Hyperlink"/>
            <w:rFonts w:ascii="Calibri" w:hAnsi="Calibri" w:cs="Segoe UI Symbol"/>
            <w:color w:val="000000" w:themeColor="text1"/>
            <w:sz w:val="20"/>
            <w:szCs w:val="20"/>
            <w:u w:val="none"/>
          </w:rPr>
          <w:t>Binwal</w:t>
        </w:r>
        <w:proofErr w:type="spellEnd"/>
      </w:hyperlink>
      <w:r w:rsidR="003710F1" w:rsidRPr="00855EFB">
        <w:rPr>
          <w:rFonts w:ascii="Calibri" w:hAnsi="Calibri" w:cs="Segoe UI Symbol"/>
          <w:color w:val="000000" w:themeColor="text1"/>
          <w:sz w:val="20"/>
          <w:szCs w:val="20"/>
        </w:rPr>
        <w:t xml:space="preserve"> M</w:t>
      </w:r>
      <w:r w:rsidRPr="00855EFB">
        <w:rPr>
          <w:rFonts w:ascii="Calibri" w:hAnsi="Calibri" w:cs="Segoe UI Symbol"/>
          <w:color w:val="000000" w:themeColor="text1"/>
          <w:sz w:val="20"/>
          <w:szCs w:val="20"/>
          <w:vertAlign w:val="superscript"/>
        </w:rPr>
        <w:t> </w:t>
      </w:r>
      <w:r w:rsidRPr="00855EFB">
        <w:rPr>
          <w:rFonts w:ascii="Calibri" w:hAnsi="Calibri" w:cs="Segoe UI Symbol"/>
          <w:color w:val="000000" w:themeColor="text1"/>
          <w:sz w:val="20"/>
          <w:szCs w:val="20"/>
        </w:rPr>
        <w:t>, </w:t>
      </w:r>
      <w:hyperlink r:id="rId10" w:history="1">
        <w:r w:rsidRPr="00855EFB">
          <w:rPr>
            <w:rStyle w:val="Hyperlink"/>
            <w:rFonts w:ascii="Calibri" w:hAnsi="Calibri" w:cs="Segoe UI Symbol"/>
            <w:color w:val="000000" w:themeColor="text1"/>
            <w:sz w:val="20"/>
            <w:szCs w:val="20"/>
            <w:u w:val="none"/>
          </w:rPr>
          <w:t xml:space="preserve"> </w:t>
        </w:r>
        <w:proofErr w:type="spellStart"/>
        <w:r w:rsidRPr="00855EFB">
          <w:rPr>
            <w:rStyle w:val="Hyperlink"/>
            <w:rFonts w:ascii="Calibri" w:hAnsi="Calibri" w:cs="Segoe UI Symbol"/>
            <w:color w:val="000000" w:themeColor="text1"/>
            <w:sz w:val="20"/>
            <w:szCs w:val="20"/>
            <w:u w:val="none"/>
          </w:rPr>
          <w:t>Bawankule</w:t>
        </w:r>
        <w:proofErr w:type="spellEnd"/>
      </w:hyperlink>
      <w:r w:rsidR="003710F1" w:rsidRPr="00855EFB">
        <w:rPr>
          <w:rFonts w:ascii="Calibri" w:hAnsi="Calibri" w:cs="Segoe UI Symbol"/>
          <w:color w:val="000000" w:themeColor="text1"/>
          <w:sz w:val="20"/>
          <w:szCs w:val="20"/>
        </w:rPr>
        <w:t xml:space="preserve"> DU</w:t>
      </w:r>
      <w:r w:rsidR="003710F1" w:rsidRPr="00855EFB">
        <w:rPr>
          <w:rFonts w:ascii="Calibri" w:hAnsi="Calibri"/>
          <w:color w:val="000000" w:themeColor="text1"/>
          <w:sz w:val="20"/>
          <w:szCs w:val="20"/>
        </w:rPr>
        <w:t>.</w:t>
      </w:r>
      <w:r w:rsidR="00A9565E" w:rsidRPr="00855EFB">
        <w:rPr>
          <w:rFonts w:ascii="Calibri" w:hAnsi="Calibri"/>
          <w:color w:val="000000" w:themeColor="text1"/>
          <w:sz w:val="20"/>
          <w:szCs w:val="20"/>
        </w:rPr>
        <w:t xml:space="preserve"> (2023)</w:t>
      </w:r>
      <w:r w:rsidR="003710F1" w:rsidRPr="00855EFB">
        <w:rPr>
          <w:rFonts w:ascii="Calibri" w:hAnsi="Calibri"/>
          <w:color w:val="000000" w:themeColor="text1"/>
          <w:sz w:val="20"/>
          <w:szCs w:val="20"/>
        </w:rPr>
        <w:t xml:space="preserve"> </w:t>
      </w:r>
      <w:proofErr w:type="spellStart"/>
      <w:r w:rsidRPr="00855EFB">
        <w:rPr>
          <w:rFonts w:ascii="Calibri" w:hAnsi="Calibri" w:cs="Segoe UI"/>
          <w:color w:val="000000" w:themeColor="text1"/>
          <w:sz w:val="20"/>
          <w:szCs w:val="20"/>
        </w:rPr>
        <w:t>Inflammopharmacology</w:t>
      </w:r>
      <w:proofErr w:type="spellEnd"/>
      <w:r w:rsidRPr="00855EFB">
        <w:rPr>
          <w:rStyle w:val="period"/>
          <w:rFonts w:ascii="Calibri" w:hAnsi="Calibri" w:cs="Segoe UI"/>
          <w:color w:val="000000" w:themeColor="text1"/>
          <w:sz w:val="20"/>
          <w:szCs w:val="20"/>
        </w:rPr>
        <w:t>. </w:t>
      </w:r>
      <w:r w:rsidRPr="00855EFB">
        <w:rPr>
          <w:rStyle w:val="cit"/>
          <w:rFonts w:ascii="Calibri" w:hAnsi="Calibri" w:cs="Segoe UI"/>
          <w:color w:val="000000" w:themeColor="text1"/>
          <w:sz w:val="20"/>
          <w:szCs w:val="20"/>
        </w:rPr>
        <w:t>Apr</w:t>
      </w:r>
      <w:proofErr w:type="gramStart"/>
      <w:r w:rsidRPr="00855EFB">
        <w:rPr>
          <w:rStyle w:val="cit"/>
          <w:rFonts w:ascii="Calibri" w:hAnsi="Calibri" w:cs="Segoe UI"/>
          <w:color w:val="000000" w:themeColor="text1"/>
          <w:sz w:val="20"/>
          <w:szCs w:val="20"/>
        </w:rPr>
        <w:t>;31</w:t>
      </w:r>
      <w:proofErr w:type="gramEnd"/>
      <w:r w:rsidRPr="00855EFB">
        <w:rPr>
          <w:rStyle w:val="cit"/>
          <w:rFonts w:ascii="Calibri" w:hAnsi="Calibri" w:cs="Segoe UI"/>
          <w:color w:val="000000" w:themeColor="text1"/>
          <w:sz w:val="20"/>
          <w:szCs w:val="20"/>
        </w:rPr>
        <w:t>(2):927-941.</w:t>
      </w:r>
      <w:r w:rsidRPr="00855EFB">
        <w:rPr>
          <w:rStyle w:val="citation-doi"/>
          <w:rFonts w:ascii="Calibri" w:hAnsi="Calibri" w:cs="Segoe UI"/>
          <w:color w:val="000000" w:themeColor="text1"/>
          <w:sz w:val="20"/>
          <w:szCs w:val="20"/>
          <w:shd w:val="clear" w:color="auto" w:fill="FFFFFF"/>
        </w:rPr>
        <w:t>doi: 10.1007/s10787-023-01141-z.</w:t>
      </w:r>
    </w:p>
    <w:p w:rsidR="008B21D3" w:rsidRPr="0021253B" w:rsidRDefault="008B21D3" w:rsidP="0021253B">
      <w:pPr>
        <w:jc w:val="both"/>
        <w:rPr>
          <w:rFonts w:ascii="Segoe UI Symbol" w:hAnsi="Segoe UI Symbol" w:cs="Segoe UI Symbol"/>
        </w:rPr>
      </w:pPr>
    </w:p>
    <w:sectPr w:rsidR="008B21D3" w:rsidRPr="0021253B" w:rsidSect="00571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4EC"/>
    <w:multiLevelType w:val="multilevel"/>
    <w:tmpl w:val="2A46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113E3"/>
    <w:rsid w:val="000B6746"/>
    <w:rsid w:val="00164A5D"/>
    <w:rsid w:val="001C555D"/>
    <w:rsid w:val="0021253B"/>
    <w:rsid w:val="0026720F"/>
    <w:rsid w:val="002C7344"/>
    <w:rsid w:val="003655D4"/>
    <w:rsid w:val="003710F1"/>
    <w:rsid w:val="004119F6"/>
    <w:rsid w:val="00524DBD"/>
    <w:rsid w:val="00571334"/>
    <w:rsid w:val="005D7009"/>
    <w:rsid w:val="00764945"/>
    <w:rsid w:val="00804C49"/>
    <w:rsid w:val="00855EFB"/>
    <w:rsid w:val="008B21D3"/>
    <w:rsid w:val="008C42EB"/>
    <w:rsid w:val="009150AE"/>
    <w:rsid w:val="0096181B"/>
    <w:rsid w:val="009E29B5"/>
    <w:rsid w:val="00A9565E"/>
    <w:rsid w:val="00AA0350"/>
    <w:rsid w:val="00AC4E7E"/>
    <w:rsid w:val="00B113E3"/>
    <w:rsid w:val="00CE13CE"/>
    <w:rsid w:val="00D44CEA"/>
    <w:rsid w:val="00D61294"/>
    <w:rsid w:val="00DA02CE"/>
    <w:rsid w:val="00E263E8"/>
    <w:rsid w:val="00E32FC9"/>
    <w:rsid w:val="00FC2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334"/>
  </w:style>
  <w:style w:type="paragraph" w:styleId="Heading1">
    <w:name w:val="heading 1"/>
    <w:basedOn w:val="Normal"/>
    <w:link w:val="Heading1Char"/>
    <w:uiPriority w:val="9"/>
    <w:qFormat/>
    <w:rsid w:val="008B2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B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B21D3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basedOn w:val="DefaultParagraphFont"/>
    <w:uiPriority w:val="99"/>
    <w:unhideWhenUsed/>
    <w:rsid w:val="008B21D3"/>
    <w:rPr>
      <w:color w:val="0563C1" w:themeColor="hyperlink"/>
      <w:u w:val="single"/>
    </w:rPr>
  </w:style>
  <w:style w:type="character" w:customStyle="1" w:styleId="period">
    <w:name w:val="period"/>
    <w:basedOn w:val="DefaultParagraphFont"/>
    <w:rsid w:val="008B21D3"/>
  </w:style>
  <w:style w:type="character" w:customStyle="1" w:styleId="cit">
    <w:name w:val="cit"/>
    <w:basedOn w:val="DefaultParagraphFont"/>
    <w:rsid w:val="008B21D3"/>
  </w:style>
  <w:style w:type="character" w:customStyle="1" w:styleId="citation-doi">
    <w:name w:val="citation-doi"/>
    <w:basedOn w:val="DefaultParagraphFont"/>
    <w:rsid w:val="008B21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714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461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95437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Kumar+M&amp;cauthor_id=36715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?term=Chaudhary+MJ&amp;cauthor_id=367158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?term=Pal+R&amp;cauthor_id=36715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ubmed.ncbi.nlm.nih.gov/?term=Kartik+S&amp;cauthor_id=36715843" TargetMode="External"/><Relationship Id="rId10" Type="http://schemas.openxmlformats.org/officeDocument/2006/relationships/hyperlink" Target="https://pubmed.ncbi.nlm.nih.gov/?term=Bawankule+DU&amp;cauthor_id=36715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term=Binwal+M&amp;cauthor_id=3671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Rishi Pal</dc:creator>
  <cp:lastModifiedBy>HP</cp:lastModifiedBy>
  <cp:revision>9</cp:revision>
  <cp:lastPrinted>2022-05-30T10:52:00Z</cp:lastPrinted>
  <dcterms:created xsi:type="dcterms:W3CDTF">2025-05-14T09:17:00Z</dcterms:created>
  <dcterms:modified xsi:type="dcterms:W3CDTF">2025-05-14T10:30:00Z</dcterms:modified>
</cp:coreProperties>
</file>