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2F2E" w14:textId="5EC83116" w:rsidR="007F51A4" w:rsidRPr="00175AA8" w:rsidRDefault="007F51A4" w:rsidP="00175AA8">
      <w:pPr>
        <w:jc w:val="both"/>
        <w:rPr>
          <w:rStyle w:val="mixed-citation"/>
          <w:rFonts w:ascii="Calibri" w:hAnsi="Calibri" w:cs="Calibri"/>
          <w:b/>
          <w:bCs/>
          <w:sz w:val="20"/>
          <w:szCs w:val="20"/>
        </w:rPr>
      </w:pPr>
      <w:r w:rsidRPr="00175AA8">
        <w:rPr>
          <w:rFonts w:ascii="Calibri" w:hAnsi="Calibri" w:cs="Calibri"/>
          <w:b/>
          <w:bCs/>
          <w:color w:val="0D0D0D" w:themeColor="text1" w:themeTint="F2"/>
          <w:sz w:val="20"/>
          <w:szCs w:val="20"/>
        </w:rPr>
        <w:t>Bone-Targeted Liposomes of Metformin: Promising Treatment Strategy for Reversing Post-Menopausal Osteoporosis</w:t>
      </w:r>
    </w:p>
    <w:p w14:paraId="23F7C736" w14:textId="77777777" w:rsidR="007F51A4" w:rsidRPr="00175AA8" w:rsidRDefault="007F51A4" w:rsidP="00175AA8">
      <w:pPr>
        <w:autoSpaceDE w:val="0"/>
        <w:autoSpaceDN w:val="0"/>
        <w:adjustRightInd w:val="0"/>
        <w:jc w:val="both"/>
        <w:rPr>
          <w:rStyle w:val="mixed-citation"/>
          <w:rFonts w:ascii="Calibri" w:hAnsi="Calibri" w:cs="Calibri"/>
          <w:color w:val="0D0D0D" w:themeColor="text1" w:themeTint="F2"/>
          <w:sz w:val="20"/>
          <w:szCs w:val="20"/>
        </w:rPr>
      </w:pPr>
      <w:r w:rsidRPr="00175AA8">
        <w:rPr>
          <w:rStyle w:val="mixed-citation"/>
          <w:rFonts w:ascii="Calibri" w:hAnsi="Calibri" w:cs="Calibri"/>
          <w:color w:val="0D0D0D" w:themeColor="text1" w:themeTint="F2"/>
          <w:sz w:val="20"/>
          <w:szCs w:val="20"/>
        </w:rPr>
        <w:t>Nikita Nirwan*</w:t>
      </w:r>
      <w:r w:rsidRPr="00175AA8">
        <w:rPr>
          <w:rStyle w:val="mixed-citation"/>
          <w:rFonts w:ascii="Calibri" w:hAnsi="Calibri" w:cs="Calibri"/>
          <w:color w:val="0D0D0D" w:themeColor="text1" w:themeTint="F2"/>
          <w:sz w:val="20"/>
          <w:szCs w:val="20"/>
          <w:vertAlign w:val="superscript"/>
        </w:rPr>
        <w:t>1</w:t>
      </w:r>
    </w:p>
    <w:p w14:paraId="305B18AC" w14:textId="4E465545" w:rsidR="007F51A4" w:rsidRPr="00175AA8" w:rsidRDefault="007F51A4" w:rsidP="00175AA8">
      <w:pPr>
        <w:autoSpaceDE w:val="0"/>
        <w:autoSpaceDN w:val="0"/>
        <w:adjustRightInd w:val="0"/>
        <w:jc w:val="both"/>
        <w:rPr>
          <w:rFonts w:ascii="Calibri" w:hAnsi="Calibri" w:cs="Calibri"/>
          <w:color w:val="0D0D0D" w:themeColor="text1" w:themeTint="F2"/>
          <w:sz w:val="20"/>
          <w:szCs w:val="20"/>
          <w:shd w:val="clear" w:color="auto" w:fill="FFFFFF"/>
        </w:rPr>
      </w:pPr>
      <w:r w:rsidRPr="00175AA8">
        <w:rPr>
          <w:rStyle w:val="mixed-citation"/>
          <w:rFonts w:ascii="Calibri" w:hAnsi="Calibri" w:cs="Calibri"/>
          <w:color w:val="0D0D0D" w:themeColor="text1" w:themeTint="F2"/>
          <w:sz w:val="20"/>
          <w:szCs w:val="20"/>
          <w:vertAlign w:val="superscript"/>
        </w:rPr>
        <w:t>1</w:t>
      </w:r>
      <w:r w:rsidRPr="00175AA8">
        <w:rPr>
          <w:rFonts w:ascii="Calibri" w:hAnsi="Calibri" w:cs="Calibri"/>
          <w:color w:val="0D0D0D" w:themeColor="text1" w:themeTint="F2"/>
          <w:sz w:val="20"/>
          <w:szCs w:val="20"/>
          <w:shd w:val="clear" w:color="auto" w:fill="FFFFFF"/>
        </w:rPr>
        <w:t>Department of Pharmacology, Dabur Research Foundation, Ghaziabad, Uttar Pradesh, 201010, India</w:t>
      </w:r>
    </w:p>
    <w:p w14:paraId="63874FEF" w14:textId="77777777" w:rsidR="0086672F" w:rsidRPr="00175AA8" w:rsidRDefault="0086672F" w:rsidP="00175AA8">
      <w:pPr>
        <w:autoSpaceDE w:val="0"/>
        <w:autoSpaceDN w:val="0"/>
        <w:adjustRightInd w:val="0"/>
        <w:jc w:val="both"/>
        <w:rPr>
          <w:rFonts w:ascii="Calibri" w:hAnsi="Calibri" w:cs="Calibri"/>
          <w:sz w:val="20"/>
          <w:szCs w:val="20"/>
          <w:shd w:val="clear" w:color="auto" w:fill="FFFFFF"/>
        </w:rPr>
      </w:pPr>
    </w:p>
    <w:p w14:paraId="5064E4C2" w14:textId="7374DD6D" w:rsidR="007F51A4" w:rsidRPr="004A26DB" w:rsidRDefault="007F51A4" w:rsidP="00175AA8">
      <w:pPr>
        <w:autoSpaceDE w:val="0"/>
        <w:autoSpaceDN w:val="0"/>
        <w:adjustRightInd w:val="0"/>
        <w:jc w:val="both"/>
        <w:rPr>
          <w:rFonts w:ascii="Calibri" w:hAnsi="Calibri" w:cs="Calibri"/>
          <w:color w:val="0F0F0F"/>
          <w:sz w:val="20"/>
          <w:szCs w:val="20"/>
          <w:lang w:val="en-IN"/>
        </w:rPr>
      </w:pPr>
      <w:r w:rsidRPr="004A26DB">
        <w:rPr>
          <w:rFonts w:ascii="Calibri" w:hAnsi="Calibri" w:cs="Calibri"/>
          <w:color w:val="0F0F0F"/>
          <w:sz w:val="20"/>
          <w:szCs w:val="20"/>
        </w:rPr>
        <w:t>Introduction</w:t>
      </w:r>
      <w:r w:rsidR="00CE484C">
        <w:rPr>
          <w:rFonts w:ascii="Calibri" w:hAnsi="Calibri" w:cs="Calibri"/>
          <w:color w:val="0F0F0F"/>
          <w:sz w:val="20"/>
          <w:szCs w:val="20"/>
        </w:rPr>
        <w:t xml:space="preserve"> -</w:t>
      </w:r>
    </w:p>
    <w:p w14:paraId="3C1F38CC" w14:textId="2C708C73" w:rsidR="006C7B14" w:rsidRPr="00175AA8" w:rsidRDefault="007F51A4" w:rsidP="00175AA8">
      <w:pPr>
        <w:autoSpaceDE w:val="0"/>
        <w:autoSpaceDN w:val="0"/>
        <w:adjustRightInd w:val="0"/>
        <w:jc w:val="both"/>
        <w:rPr>
          <w:rFonts w:ascii="Calibri" w:hAnsi="Calibri" w:cs="Calibri"/>
          <w:sz w:val="20"/>
          <w:szCs w:val="20"/>
        </w:rPr>
      </w:pPr>
      <w:r w:rsidRPr="00175AA8">
        <w:rPr>
          <w:rFonts w:ascii="Calibri" w:hAnsi="Calibri" w:cs="Calibri"/>
          <w:color w:val="000000"/>
          <w:sz w:val="20"/>
          <w:szCs w:val="20"/>
        </w:rPr>
        <w:t xml:space="preserve">Metformin is one of the safest drugs which is being repurposed in multiple diseases other than diabetes. In present study, we have planned to fabricate its bone targeted formulation and evaluate its pre-clinical efficacy in rodent model of osteoporosis. Among nano-based drug delivery systems, liposomes are superior </w:t>
      </w:r>
      <w:r w:rsidRPr="00175AA8">
        <w:rPr>
          <w:rFonts w:ascii="Calibri" w:hAnsi="Calibri" w:cs="Calibri"/>
          <w:sz w:val="20"/>
          <w:szCs w:val="20"/>
        </w:rPr>
        <w:t xml:space="preserve">due to biocompatibility, and cell specificity. Previous literature has shown that drug- loaded liposomes containing cholesterol-conjugated pyrophosphate is the novel approach to carry non-bone targeted drugs </w:t>
      </w:r>
      <w:r w:rsidR="006C7B14" w:rsidRPr="00175AA8">
        <w:rPr>
          <w:rFonts w:ascii="Calibri" w:hAnsi="Calibri" w:cs="Calibri"/>
          <w:sz w:val="20"/>
          <w:szCs w:val="20"/>
        </w:rPr>
        <w:t>to bone</w:t>
      </w:r>
      <w:r w:rsidRPr="00175AA8">
        <w:rPr>
          <w:rFonts w:ascii="Calibri" w:hAnsi="Calibri" w:cs="Calibri"/>
          <w:sz w:val="20"/>
          <w:szCs w:val="20"/>
        </w:rPr>
        <w:t>.</w:t>
      </w:r>
    </w:p>
    <w:p w14:paraId="73FEFB18" w14:textId="1CAA3AD8" w:rsidR="006C7B14" w:rsidRPr="004A26DB" w:rsidRDefault="006C7B14" w:rsidP="00175AA8">
      <w:pPr>
        <w:autoSpaceDE w:val="0"/>
        <w:autoSpaceDN w:val="0"/>
        <w:adjustRightInd w:val="0"/>
        <w:jc w:val="both"/>
        <w:rPr>
          <w:rFonts w:ascii="Calibri" w:hAnsi="Calibri" w:cs="Calibri"/>
          <w:sz w:val="20"/>
          <w:szCs w:val="20"/>
        </w:rPr>
      </w:pPr>
      <w:r w:rsidRPr="004A26DB">
        <w:rPr>
          <w:rFonts w:ascii="Calibri" w:hAnsi="Calibri" w:cs="Calibri"/>
          <w:sz w:val="20"/>
          <w:szCs w:val="20"/>
        </w:rPr>
        <w:t>Aims</w:t>
      </w:r>
      <w:r w:rsidR="00CE484C">
        <w:rPr>
          <w:rFonts w:ascii="Calibri" w:hAnsi="Calibri" w:cs="Calibri"/>
          <w:sz w:val="20"/>
          <w:szCs w:val="20"/>
        </w:rPr>
        <w:t xml:space="preserve"> -</w:t>
      </w:r>
    </w:p>
    <w:p w14:paraId="6DA6C9E6" w14:textId="76D28C70" w:rsidR="007F51A4" w:rsidRPr="00175AA8" w:rsidRDefault="006C7B14" w:rsidP="00175AA8">
      <w:pPr>
        <w:autoSpaceDE w:val="0"/>
        <w:autoSpaceDN w:val="0"/>
        <w:adjustRightInd w:val="0"/>
        <w:jc w:val="both"/>
        <w:rPr>
          <w:rFonts w:ascii="Calibri" w:hAnsi="Calibri" w:cs="Calibri"/>
          <w:sz w:val="20"/>
          <w:szCs w:val="20"/>
        </w:rPr>
      </w:pPr>
      <w:r w:rsidRPr="00175AA8">
        <w:rPr>
          <w:rFonts w:ascii="Calibri" w:hAnsi="Calibri" w:cs="Calibri"/>
          <w:sz w:val="20"/>
          <w:szCs w:val="20"/>
        </w:rPr>
        <w:t>In this study we have developed the bone-targeted liposomes of metformin by using cholesterol-conjugated pyrophosphate.</w:t>
      </w:r>
    </w:p>
    <w:p w14:paraId="329C80F4" w14:textId="238C3EAD" w:rsidR="007F51A4" w:rsidRPr="004A26DB" w:rsidRDefault="007F51A4" w:rsidP="00175AA8">
      <w:pPr>
        <w:autoSpaceDE w:val="0"/>
        <w:autoSpaceDN w:val="0"/>
        <w:adjustRightInd w:val="0"/>
        <w:jc w:val="both"/>
        <w:rPr>
          <w:rFonts w:ascii="Calibri" w:hAnsi="Calibri" w:cs="Calibri"/>
          <w:color w:val="0F0F0F"/>
          <w:sz w:val="20"/>
          <w:szCs w:val="20"/>
        </w:rPr>
      </w:pPr>
      <w:r w:rsidRPr="004A26DB">
        <w:rPr>
          <w:rFonts w:ascii="Calibri" w:hAnsi="Calibri" w:cs="Calibri"/>
          <w:color w:val="0F0F0F"/>
          <w:sz w:val="20"/>
          <w:szCs w:val="20"/>
        </w:rPr>
        <w:t>Method</w:t>
      </w:r>
      <w:r w:rsidR="006C7B14" w:rsidRPr="004A26DB">
        <w:rPr>
          <w:rFonts w:ascii="Calibri" w:hAnsi="Calibri" w:cs="Calibri"/>
          <w:color w:val="0F0F0F"/>
          <w:sz w:val="20"/>
          <w:szCs w:val="20"/>
        </w:rPr>
        <w:t>s</w:t>
      </w:r>
      <w:r w:rsidR="00CE484C">
        <w:rPr>
          <w:rFonts w:ascii="Calibri" w:hAnsi="Calibri" w:cs="Calibri"/>
          <w:color w:val="0F0F0F"/>
          <w:sz w:val="20"/>
          <w:szCs w:val="20"/>
        </w:rPr>
        <w:t xml:space="preserve"> -</w:t>
      </w:r>
    </w:p>
    <w:p w14:paraId="18F5C4F2" w14:textId="74C8ED31" w:rsidR="007F51A4" w:rsidRPr="00175AA8" w:rsidRDefault="007F51A4" w:rsidP="00175AA8">
      <w:pPr>
        <w:autoSpaceDE w:val="0"/>
        <w:autoSpaceDN w:val="0"/>
        <w:adjustRightInd w:val="0"/>
        <w:jc w:val="both"/>
        <w:rPr>
          <w:rFonts w:ascii="Calibri" w:hAnsi="Calibri" w:cs="Calibri"/>
          <w:color w:val="0F0F0F"/>
          <w:sz w:val="20"/>
          <w:szCs w:val="20"/>
        </w:rPr>
      </w:pPr>
      <w:r w:rsidRPr="00175AA8">
        <w:rPr>
          <w:rFonts w:ascii="Calibri" w:hAnsi="Calibri" w:cs="Calibri"/>
          <w:color w:val="0F0F0F"/>
          <w:sz w:val="20"/>
          <w:szCs w:val="20"/>
        </w:rPr>
        <w:t>Bone targeted liposomes of metformin were tailored by using rotary evaporation</w:t>
      </w:r>
      <w:r w:rsidR="00CB14E6" w:rsidRPr="00175AA8">
        <w:rPr>
          <w:rFonts w:ascii="Calibri" w:hAnsi="Calibri" w:cs="Calibri"/>
          <w:color w:val="0F0F0F"/>
          <w:sz w:val="20"/>
          <w:szCs w:val="20"/>
        </w:rPr>
        <w:t xml:space="preserve"> and </w:t>
      </w:r>
      <w:r w:rsidRPr="00175AA8">
        <w:rPr>
          <w:rFonts w:ascii="Calibri" w:eastAsia="AdvGulliv-R" w:hAnsi="Calibri" w:cs="Calibri"/>
          <w:color w:val="0D0D0D" w:themeColor="text1" w:themeTint="F2"/>
          <w:sz w:val="20"/>
          <w:szCs w:val="20"/>
        </w:rPr>
        <w:t>evaluated for particle size,</w:t>
      </w:r>
      <w:r w:rsidR="00CB14E6" w:rsidRPr="00175AA8">
        <w:rPr>
          <w:rFonts w:ascii="Calibri" w:eastAsia="AdvGulliv-R" w:hAnsi="Calibri" w:cs="Calibri"/>
          <w:color w:val="0D0D0D" w:themeColor="text1" w:themeTint="F2"/>
          <w:sz w:val="20"/>
          <w:szCs w:val="20"/>
        </w:rPr>
        <w:t xml:space="preserve"> </w:t>
      </w:r>
      <w:r w:rsidRPr="00175AA8">
        <w:rPr>
          <w:rFonts w:ascii="Calibri" w:eastAsia="AdvGulliv-R" w:hAnsi="Calibri" w:cs="Calibri"/>
          <w:color w:val="0D0D0D" w:themeColor="text1" w:themeTint="F2"/>
          <w:sz w:val="20"/>
          <w:szCs w:val="20"/>
        </w:rPr>
        <w:t xml:space="preserve">encapsulation efficacy </w:t>
      </w:r>
      <w:r w:rsidR="00CB14E6" w:rsidRPr="00175AA8">
        <w:rPr>
          <w:rFonts w:ascii="Calibri" w:eastAsia="AdvGulliv-R" w:hAnsi="Calibri" w:cs="Calibri"/>
          <w:color w:val="0D0D0D" w:themeColor="text1" w:themeTint="F2"/>
          <w:sz w:val="20"/>
          <w:szCs w:val="20"/>
        </w:rPr>
        <w:t xml:space="preserve">&amp; </w:t>
      </w:r>
      <w:r w:rsidRPr="00175AA8">
        <w:rPr>
          <w:rFonts w:ascii="Calibri" w:eastAsia="AdvGulliv-R" w:hAnsi="Calibri" w:cs="Calibri"/>
          <w:color w:val="0D0D0D" w:themeColor="text1" w:themeTint="F2"/>
          <w:sz w:val="20"/>
          <w:szCs w:val="20"/>
        </w:rPr>
        <w:t>release study.</w:t>
      </w:r>
      <w:r w:rsidRPr="00175AA8">
        <w:rPr>
          <w:rFonts w:ascii="Calibri" w:hAnsi="Calibri" w:cs="Calibri"/>
          <w:color w:val="0F0F0F"/>
          <w:sz w:val="20"/>
          <w:szCs w:val="20"/>
        </w:rPr>
        <w:t xml:space="preserve"> </w:t>
      </w:r>
      <w:r w:rsidR="00CB14E6" w:rsidRPr="00175AA8">
        <w:rPr>
          <w:rFonts w:ascii="Calibri" w:hAnsi="Calibri" w:cs="Calibri"/>
          <w:color w:val="1B1B1B"/>
          <w:sz w:val="20"/>
          <w:szCs w:val="20"/>
          <w:shd w:val="clear" w:color="auto" w:fill="FFFFFF"/>
        </w:rPr>
        <w:t>F</w:t>
      </w:r>
      <w:r w:rsidRPr="00175AA8">
        <w:rPr>
          <w:rFonts w:ascii="Calibri" w:hAnsi="Calibri" w:cs="Calibri"/>
          <w:color w:val="1B1B1B"/>
          <w:sz w:val="20"/>
          <w:szCs w:val="20"/>
          <w:shd w:val="clear" w:color="auto" w:fill="FFFFFF"/>
        </w:rPr>
        <w:t xml:space="preserve">emale </w:t>
      </w:r>
      <w:proofErr w:type="spellStart"/>
      <w:r w:rsidRPr="00175AA8">
        <w:rPr>
          <w:rFonts w:ascii="Calibri" w:hAnsi="Calibri" w:cs="Calibri"/>
          <w:color w:val="1B1B1B"/>
          <w:sz w:val="20"/>
          <w:szCs w:val="20"/>
          <w:shd w:val="clear" w:color="auto" w:fill="FFFFFF"/>
        </w:rPr>
        <w:t>Balb</w:t>
      </w:r>
      <w:proofErr w:type="spellEnd"/>
      <w:r w:rsidRPr="00175AA8">
        <w:rPr>
          <w:rFonts w:ascii="Calibri" w:hAnsi="Calibri" w:cs="Calibri"/>
          <w:color w:val="1B1B1B"/>
          <w:sz w:val="20"/>
          <w:szCs w:val="20"/>
          <w:shd w:val="clear" w:color="auto" w:fill="FFFFFF"/>
        </w:rPr>
        <w:t>/c mice were used for the in-vivo study</w:t>
      </w:r>
      <w:r w:rsidR="00CB14E6" w:rsidRPr="00175AA8">
        <w:rPr>
          <w:rFonts w:ascii="Calibri" w:hAnsi="Calibri" w:cs="Calibri"/>
          <w:color w:val="1B1B1B"/>
          <w:sz w:val="20"/>
          <w:szCs w:val="20"/>
          <w:shd w:val="clear" w:color="auto" w:fill="FFFFFF"/>
        </w:rPr>
        <w:t xml:space="preserve"> and </w:t>
      </w:r>
      <w:r w:rsidRPr="00175AA8">
        <w:rPr>
          <w:rFonts w:ascii="Calibri" w:hAnsi="Calibri" w:cs="Calibri"/>
          <w:color w:val="0F0F0F"/>
          <w:sz w:val="20"/>
          <w:szCs w:val="20"/>
        </w:rPr>
        <w:t xml:space="preserve">Ovariectomy (OVX) was performed </w:t>
      </w:r>
      <w:r w:rsidRPr="00175AA8">
        <w:rPr>
          <w:rFonts w:ascii="Calibri" w:hAnsi="Calibri" w:cs="Calibri"/>
          <w:color w:val="1B1B1B"/>
          <w:sz w:val="20"/>
          <w:szCs w:val="20"/>
          <w:shd w:val="clear" w:color="auto" w:fill="FFFFFF"/>
        </w:rPr>
        <w:t>as per the previously established protocol</w:t>
      </w:r>
      <w:r w:rsidR="00CB14E6" w:rsidRPr="00175AA8">
        <w:rPr>
          <w:rFonts w:ascii="Calibri" w:hAnsi="Calibri" w:cs="Calibri"/>
          <w:color w:val="1B1B1B"/>
          <w:sz w:val="20"/>
          <w:szCs w:val="20"/>
          <w:shd w:val="clear" w:color="auto" w:fill="FFFFFF"/>
        </w:rPr>
        <w:t>.</w:t>
      </w:r>
      <w:r w:rsidRPr="00175AA8">
        <w:rPr>
          <w:rFonts w:ascii="Calibri" w:hAnsi="Calibri" w:cs="Calibri"/>
          <w:color w:val="1B1B1B"/>
          <w:sz w:val="20"/>
          <w:szCs w:val="20"/>
          <w:shd w:val="clear" w:color="auto" w:fill="FFFFFF"/>
        </w:rPr>
        <w:t xml:space="preserve"> Post surgery mice were kept untreated for next 4 weeks</w:t>
      </w:r>
      <w:r w:rsidR="00CB14E6" w:rsidRPr="00175AA8">
        <w:rPr>
          <w:rFonts w:ascii="Calibri" w:hAnsi="Calibri" w:cs="Calibri"/>
          <w:color w:val="1B1B1B"/>
          <w:sz w:val="20"/>
          <w:szCs w:val="20"/>
          <w:shd w:val="clear" w:color="auto" w:fill="FFFFFF"/>
        </w:rPr>
        <w:t xml:space="preserve"> </w:t>
      </w:r>
      <w:r w:rsidRPr="00175AA8">
        <w:rPr>
          <w:rFonts w:ascii="Calibri" w:hAnsi="Calibri" w:cs="Calibri"/>
          <w:color w:val="1B1B1B"/>
          <w:sz w:val="20"/>
          <w:szCs w:val="20"/>
          <w:shd w:val="clear" w:color="auto" w:fill="FFFFFF"/>
        </w:rPr>
        <w:t xml:space="preserve">and </w:t>
      </w:r>
      <w:r w:rsidR="00CB14E6" w:rsidRPr="00175AA8">
        <w:rPr>
          <w:rFonts w:ascii="Calibri" w:hAnsi="Calibri" w:cs="Calibri"/>
          <w:color w:val="1B1B1B"/>
          <w:sz w:val="20"/>
          <w:szCs w:val="20"/>
          <w:shd w:val="clear" w:color="auto" w:fill="FFFFFF"/>
        </w:rPr>
        <w:t xml:space="preserve">thereafter </w:t>
      </w:r>
      <w:r w:rsidRPr="00175AA8">
        <w:rPr>
          <w:rFonts w:ascii="Calibri" w:hAnsi="Calibri" w:cs="Calibri"/>
          <w:color w:val="1B1B1B"/>
          <w:sz w:val="20"/>
          <w:szCs w:val="20"/>
          <w:shd w:val="clear" w:color="auto" w:fill="FFFFFF"/>
        </w:rPr>
        <w:t xml:space="preserve">treated with either metformin, bone targeted liposomes of metformin (150mg/kg) or vehicle (10ml/kg) for 28 days. </w:t>
      </w:r>
      <w:r w:rsidR="00CB14E6" w:rsidRPr="00175AA8">
        <w:rPr>
          <w:rFonts w:ascii="Calibri" w:hAnsi="Calibri" w:cs="Calibri"/>
          <w:color w:val="1B1B1B"/>
          <w:sz w:val="20"/>
          <w:szCs w:val="20"/>
          <w:shd w:val="clear" w:color="auto" w:fill="FFFFFF"/>
        </w:rPr>
        <w:t xml:space="preserve">Bones and serum were isolated to evaluate </w:t>
      </w:r>
      <w:r w:rsidRPr="00175AA8">
        <w:rPr>
          <w:rFonts w:ascii="Calibri" w:hAnsi="Calibri" w:cs="Calibri"/>
          <w:color w:val="0F0F0F"/>
          <w:sz w:val="20"/>
          <w:szCs w:val="20"/>
        </w:rPr>
        <w:t>estrogen, bone micro-architecture</w:t>
      </w:r>
      <w:r w:rsidR="00CB14E6" w:rsidRPr="00175AA8">
        <w:rPr>
          <w:rFonts w:ascii="Calibri" w:hAnsi="Calibri" w:cs="Calibri"/>
          <w:color w:val="0F0F0F"/>
          <w:sz w:val="20"/>
          <w:szCs w:val="20"/>
        </w:rPr>
        <w:t xml:space="preserve">, </w:t>
      </w:r>
      <w:r w:rsidRPr="00175AA8">
        <w:rPr>
          <w:rFonts w:ascii="Calibri" w:hAnsi="Calibri" w:cs="Calibri"/>
          <w:color w:val="0F0F0F"/>
          <w:sz w:val="20"/>
          <w:szCs w:val="20"/>
        </w:rPr>
        <w:t>turnover biomarkers and inflammatory cytokines.</w:t>
      </w:r>
    </w:p>
    <w:p w14:paraId="279130A3" w14:textId="20C132A4" w:rsidR="007F51A4" w:rsidRPr="004A26DB" w:rsidRDefault="007F51A4" w:rsidP="00175AA8">
      <w:pPr>
        <w:autoSpaceDE w:val="0"/>
        <w:autoSpaceDN w:val="0"/>
        <w:adjustRightInd w:val="0"/>
        <w:jc w:val="both"/>
        <w:rPr>
          <w:rFonts w:ascii="Calibri" w:hAnsi="Calibri" w:cs="Calibri"/>
          <w:color w:val="0F0F0F"/>
          <w:sz w:val="20"/>
          <w:szCs w:val="20"/>
        </w:rPr>
      </w:pPr>
      <w:r w:rsidRPr="004A26DB">
        <w:rPr>
          <w:rFonts w:ascii="Calibri" w:hAnsi="Calibri" w:cs="Calibri"/>
          <w:color w:val="0D0D0D" w:themeColor="text1" w:themeTint="F2"/>
          <w:sz w:val="20"/>
          <w:szCs w:val="20"/>
        </w:rPr>
        <w:t xml:space="preserve">Results </w:t>
      </w:r>
      <w:r w:rsidR="006C7B14" w:rsidRPr="004A26DB">
        <w:rPr>
          <w:rFonts w:ascii="Calibri" w:hAnsi="Calibri" w:cs="Calibri"/>
          <w:color w:val="0D0D0D" w:themeColor="text1" w:themeTint="F2"/>
          <w:sz w:val="20"/>
          <w:szCs w:val="20"/>
        </w:rPr>
        <w:t>and Discussion</w:t>
      </w:r>
      <w:r w:rsidR="00CE484C">
        <w:rPr>
          <w:rFonts w:ascii="Calibri" w:hAnsi="Calibri" w:cs="Calibri"/>
          <w:color w:val="0D0D0D" w:themeColor="text1" w:themeTint="F2"/>
          <w:sz w:val="20"/>
          <w:szCs w:val="20"/>
        </w:rPr>
        <w:t xml:space="preserve"> -</w:t>
      </w:r>
    </w:p>
    <w:p w14:paraId="7DCD5D54" w14:textId="4D3DB7B1" w:rsidR="00F97620" w:rsidRPr="00175AA8" w:rsidRDefault="007F51A4" w:rsidP="00175AA8">
      <w:pPr>
        <w:autoSpaceDE w:val="0"/>
        <w:autoSpaceDN w:val="0"/>
        <w:adjustRightInd w:val="0"/>
        <w:jc w:val="both"/>
        <w:rPr>
          <w:rFonts w:ascii="Calibri" w:eastAsia="AdvGulliv-R" w:hAnsi="Calibri" w:cs="Calibri"/>
          <w:color w:val="0D0D0D" w:themeColor="text1" w:themeTint="F2"/>
          <w:sz w:val="20"/>
          <w:szCs w:val="20"/>
        </w:rPr>
      </w:pPr>
      <w:r w:rsidRPr="00175AA8">
        <w:rPr>
          <w:rFonts w:ascii="Calibri" w:eastAsia="AdvGulliv-R" w:hAnsi="Calibri" w:cs="Calibri"/>
          <w:color w:val="0D0D0D" w:themeColor="text1" w:themeTint="F2"/>
          <w:sz w:val="20"/>
          <w:szCs w:val="20"/>
        </w:rPr>
        <w:t xml:space="preserve">Metformin loaded liposomes showed particle size of 213 nm and drug release of 81%. </w:t>
      </w:r>
      <w:r w:rsidR="005E22B6" w:rsidRPr="00175AA8">
        <w:rPr>
          <w:rFonts w:ascii="Calibri" w:eastAsia="AdvGulliv-R" w:hAnsi="Calibri" w:cs="Calibri"/>
          <w:color w:val="0D0D0D" w:themeColor="text1" w:themeTint="F2"/>
          <w:sz w:val="20"/>
          <w:szCs w:val="20"/>
        </w:rPr>
        <w:t>O</w:t>
      </w:r>
      <w:r w:rsidRPr="00175AA8">
        <w:rPr>
          <w:rFonts w:ascii="Calibri" w:eastAsia="AdvGulliv-R" w:hAnsi="Calibri" w:cs="Calibri"/>
          <w:color w:val="0D0D0D" w:themeColor="text1" w:themeTint="F2"/>
          <w:sz w:val="20"/>
          <w:szCs w:val="20"/>
        </w:rPr>
        <w:t>steoporosis in the ovariectomized mice was confirmed by reduced primary ovarian follicle</w:t>
      </w:r>
      <w:r w:rsidR="005E22B6" w:rsidRPr="00175AA8">
        <w:rPr>
          <w:rFonts w:ascii="Calibri" w:eastAsia="AdvGulliv-R" w:hAnsi="Calibri" w:cs="Calibri"/>
          <w:color w:val="0D0D0D" w:themeColor="text1" w:themeTint="F2"/>
          <w:sz w:val="20"/>
          <w:szCs w:val="20"/>
        </w:rPr>
        <w:t xml:space="preserve"> &amp;</w:t>
      </w:r>
      <w:r w:rsidRPr="00175AA8">
        <w:rPr>
          <w:rFonts w:ascii="Calibri" w:eastAsia="AdvGulliv-R" w:hAnsi="Calibri" w:cs="Calibri"/>
          <w:color w:val="0D0D0D" w:themeColor="text1" w:themeTint="F2"/>
          <w:sz w:val="20"/>
          <w:szCs w:val="20"/>
        </w:rPr>
        <w:t xml:space="preserve"> estradiol levels. In-vivo evaluation demonstrated the significant increase in bone mineral density</w:t>
      </w:r>
      <w:r w:rsidRPr="00175AA8">
        <w:rPr>
          <w:rFonts w:ascii="Calibri" w:hAnsi="Calibri" w:cs="Calibri"/>
          <w:color w:val="0D0D0D" w:themeColor="text1" w:themeTint="F2"/>
          <w:sz w:val="20"/>
          <w:szCs w:val="20"/>
        </w:rPr>
        <w:t xml:space="preserve"> (p&lt;0.05)</w:t>
      </w:r>
      <w:r w:rsidRPr="00175AA8">
        <w:rPr>
          <w:rFonts w:ascii="Calibri" w:eastAsia="AdvGulliv-R" w:hAnsi="Calibri" w:cs="Calibri"/>
          <w:color w:val="0D0D0D" w:themeColor="text1" w:themeTint="F2"/>
          <w:sz w:val="20"/>
          <w:szCs w:val="20"/>
        </w:rPr>
        <w:t>, trabecular number and BV/</w:t>
      </w:r>
      <w:r w:rsidRPr="00175AA8">
        <w:rPr>
          <w:rFonts w:ascii="Calibri" w:hAnsi="Calibri" w:cs="Calibri"/>
          <w:color w:val="0D0D0D" w:themeColor="text1" w:themeTint="F2"/>
          <w:sz w:val="20"/>
          <w:szCs w:val="20"/>
        </w:rPr>
        <w:t>(p&lt;0.01)</w:t>
      </w:r>
      <w:r w:rsidRPr="00175AA8">
        <w:rPr>
          <w:rFonts w:ascii="Calibri" w:eastAsia="AdvGulliv-R" w:hAnsi="Calibri" w:cs="Calibri"/>
          <w:color w:val="0D0D0D" w:themeColor="text1" w:themeTint="F2"/>
          <w:sz w:val="20"/>
          <w:szCs w:val="20"/>
        </w:rPr>
        <w:t xml:space="preserve">, while trabecular separation was reduced </w:t>
      </w:r>
      <w:r w:rsidRPr="00175AA8">
        <w:rPr>
          <w:rFonts w:ascii="Calibri" w:hAnsi="Calibri" w:cs="Calibri"/>
          <w:color w:val="0D0D0D" w:themeColor="text1" w:themeTint="F2"/>
          <w:sz w:val="20"/>
          <w:szCs w:val="20"/>
        </w:rPr>
        <w:t>(p&lt;0.05)</w:t>
      </w:r>
      <w:r w:rsidR="005E22B6" w:rsidRPr="00175AA8">
        <w:rPr>
          <w:rFonts w:ascii="Calibri" w:eastAsia="AdvGulliv-R" w:hAnsi="Calibri" w:cs="Calibri"/>
          <w:color w:val="0D0D0D" w:themeColor="text1" w:themeTint="F2"/>
          <w:sz w:val="20"/>
          <w:szCs w:val="20"/>
        </w:rPr>
        <w:t xml:space="preserve">. </w:t>
      </w:r>
      <w:r w:rsidRPr="00175AA8">
        <w:rPr>
          <w:rFonts w:ascii="Calibri" w:eastAsia="AdvGulliv-R" w:hAnsi="Calibri" w:cs="Calibri"/>
          <w:color w:val="0D0D0D" w:themeColor="text1" w:themeTint="F2"/>
          <w:sz w:val="20"/>
          <w:szCs w:val="20"/>
        </w:rPr>
        <w:t xml:space="preserve">Further, the possible mechanism involved in the above effect is the AMPK pathway, as bone-targeted liposomes of metformin significantly increases the osteocalcin </w:t>
      </w:r>
      <w:r w:rsidRPr="00175AA8">
        <w:rPr>
          <w:rFonts w:ascii="Calibri" w:hAnsi="Calibri" w:cs="Calibri"/>
          <w:color w:val="0D0D0D" w:themeColor="text1" w:themeTint="F2"/>
          <w:sz w:val="20"/>
          <w:szCs w:val="20"/>
        </w:rPr>
        <w:t xml:space="preserve">(p&lt;0.01), </w:t>
      </w:r>
      <w:r w:rsidRPr="00175AA8">
        <w:rPr>
          <w:rFonts w:ascii="Calibri" w:eastAsia="AdvGulliv-R" w:hAnsi="Calibri" w:cs="Calibri"/>
          <w:color w:val="0D0D0D" w:themeColor="text1" w:themeTint="F2"/>
          <w:sz w:val="20"/>
          <w:szCs w:val="20"/>
        </w:rPr>
        <w:t xml:space="preserve">while reducing TRAP and Interleukin-1beta </w:t>
      </w:r>
      <w:r w:rsidRPr="00175AA8">
        <w:rPr>
          <w:rFonts w:ascii="Calibri" w:hAnsi="Calibri" w:cs="Calibri"/>
          <w:color w:val="0D0D0D" w:themeColor="text1" w:themeTint="F2"/>
          <w:sz w:val="20"/>
          <w:szCs w:val="20"/>
        </w:rPr>
        <w:t>(p&lt;0.05)</w:t>
      </w:r>
      <w:r w:rsidRPr="00175AA8">
        <w:rPr>
          <w:rFonts w:ascii="Calibri" w:eastAsia="AdvGulliv-R" w:hAnsi="Calibri" w:cs="Calibri"/>
          <w:color w:val="0D0D0D" w:themeColor="text1" w:themeTint="F2"/>
          <w:sz w:val="20"/>
          <w:szCs w:val="20"/>
        </w:rPr>
        <w:t>.</w:t>
      </w:r>
    </w:p>
    <w:sectPr w:rsidR="00F97620" w:rsidRPr="00175AA8"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Yu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xNDAwMAMyjC2NLZR0lIJTi4sz8/NACgwNawFAZ0A1LQAAAA=="/>
  </w:docVars>
  <w:rsids>
    <w:rsidRoot w:val="002226BB"/>
    <w:rsid w:val="00001A3D"/>
    <w:rsid w:val="00024EAB"/>
    <w:rsid w:val="000A3791"/>
    <w:rsid w:val="000A4FA6"/>
    <w:rsid w:val="000E7454"/>
    <w:rsid w:val="00175AA8"/>
    <w:rsid w:val="001C40FA"/>
    <w:rsid w:val="001E04C2"/>
    <w:rsid w:val="00221F5C"/>
    <w:rsid w:val="002226BB"/>
    <w:rsid w:val="002272B0"/>
    <w:rsid w:val="002C292B"/>
    <w:rsid w:val="002D0D2B"/>
    <w:rsid w:val="00300B92"/>
    <w:rsid w:val="003238D9"/>
    <w:rsid w:val="003560E3"/>
    <w:rsid w:val="00387491"/>
    <w:rsid w:val="003B2B99"/>
    <w:rsid w:val="003C7A02"/>
    <w:rsid w:val="00444224"/>
    <w:rsid w:val="00483B05"/>
    <w:rsid w:val="004A26DB"/>
    <w:rsid w:val="004E28B9"/>
    <w:rsid w:val="004E50FC"/>
    <w:rsid w:val="004E5450"/>
    <w:rsid w:val="00564C28"/>
    <w:rsid w:val="0059609A"/>
    <w:rsid w:val="00597659"/>
    <w:rsid w:val="005D1700"/>
    <w:rsid w:val="005E22B6"/>
    <w:rsid w:val="005E48A2"/>
    <w:rsid w:val="005E62BE"/>
    <w:rsid w:val="005F6777"/>
    <w:rsid w:val="0068725A"/>
    <w:rsid w:val="006C7B14"/>
    <w:rsid w:val="00711813"/>
    <w:rsid w:val="00724E3C"/>
    <w:rsid w:val="00743C46"/>
    <w:rsid w:val="00760B17"/>
    <w:rsid w:val="00772371"/>
    <w:rsid w:val="007F51A4"/>
    <w:rsid w:val="00807639"/>
    <w:rsid w:val="00860DC6"/>
    <w:rsid w:val="0086672F"/>
    <w:rsid w:val="00885303"/>
    <w:rsid w:val="008909C9"/>
    <w:rsid w:val="00947B77"/>
    <w:rsid w:val="00986687"/>
    <w:rsid w:val="009E2228"/>
    <w:rsid w:val="009F06D6"/>
    <w:rsid w:val="00A266B4"/>
    <w:rsid w:val="00A671E5"/>
    <w:rsid w:val="00A71DEF"/>
    <w:rsid w:val="00AB2FFC"/>
    <w:rsid w:val="00AE2DA6"/>
    <w:rsid w:val="00BC5FCC"/>
    <w:rsid w:val="00C132EC"/>
    <w:rsid w:val="00C53332"/>
    <w:rsid w:val="00C60A71"/>
    <w:rsid w:val="00CB14E6"/>
    <w:rsid w:val="00CE484C"/>
    <w:rsid w:val="00D34B89"/>
    <w:rsid w:val="00D372CA"/>
    <w:rsid w:val="00D5522E"/>
    <w:rsid w:val="00D55F3B"/>
    <w:rsid w:val="00DA2731"/>
    <w:rsid w:val="00E44F74"/>
    <w:rsid w:val="00EF12F3"/>
    <w:rsid w:val="00F02477"/>
    <w:rsid w:val="00F50FAD"/>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F6E1A"/>
  <w15:chartTrackingRefBased/>
  <w15:docId w15:val="{7079FF90-3A25-ED44-A4BE-B4175FAC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customStyle="1" w:styleId="EndNoteBibliographyChar">
    <w:name w:val="EndNote Bibliography Char"/>
    <w:basedOn w:val="DefaultParagraphFont"/>
    <w:link w:val="EndNoteBibliography"/>
    <w:locked/>
    <w:rsid w:val="007F51A4"/>
    <w:rPr>
      <w:rFonts w:ascii="Calibri" w:hAnsi="Calibri" w:cs="Calibri"/>
      <w:noProof/>
      <w:lang w:val="en-US"/>
    </w:rPr>
  </w:style>
  <w:style w:type="paragraph" w:customStyle="1" w:styleId="EndNoteBibliography">
    <w:name w:val="EndNote Bibliography"/>
    <w:basedOn w:val="Normal"/>
    <w:link w:val="EndNoteBibliographyChar"/>
    <w:rsid w:val="007F51A4"/>
    <w:pPr>
      <w:spacing w:after="160"/>
    </w:pPr>
    <w:rPr>
      <w:rFonts w:ascii="Calibri" w:hAnsi="Calibri" w:cs="Calibri"/>
      <w:noProof/>
      <w:sz w:val="20"/>
      <w:szCs w:val="20"/>
    </w:rPr>
  </w:style>
  <w:style w:type="character" w:customStyle="1" w:styleId="mixed-citation">
    <w:name w:val="mixed-citation"/>
    <w:basedOn w:val="DefaultParagraphFont"/>
    <w:rsid w:val="007F5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2114</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Nikita Nirwan</cp:lastModifiedBy>
  <cp:revision>25</cp:revision>
  <cp:lastPrinted>2013-06-13T09:45:00Z</cp:lastPrinted>
  <dcterms:created xsi:type="dcterms:W3CDTF">2025-09-15T09:18:00Z</dcterms:created>
  <dcterms:modified xsi:type="dcterms:W3CDTF">2025-09-15T13:26:00Z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