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2430B88A" w:rsidR="00C315D2" w:rsidRPr="0040229A" w:rsidRDefault="0040229A" w:rsidP="5E2C5F31">
      <w:pPr>
        <w:spacing w:after="0" w:line="240" w:lineRule="auto"/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</w:pPr>
      <w:r w:rsidRPr="0040229A"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  <w:t>AI</w:t>
      </w:r>
      <w:r w:rsidRPr="0040229A">
        <w:rPr>
          <w:rFonts w:ascii="Cambria Math" w:eastAsia="等线" w:hAnsi="Cambria Math" w:cs="Cambria Math"/>
          <w:b/>
          <w:bCs/>
          <w:kern w:val="0"/>
          <w:lang w:val="en-US" w:eastAsia="zh-CN"/>
          <w14:ligatures w14:val="none"/>
        </w:rPr>
        <w:t>‑</w:t>
      </w:r>
      <w:r w:rsidRPr="0040229A">
        <w:rPr>
          <w:rFonts w:ascii="Arial" w:eastAsia="等线" w:hAnsi="Arial" w:cs="Calibri"/>
          <w:b/>
          <w:bCs/>
          <w:kern w:val="0"/>
          <w:lang w:val="en-US" w:eastAsia="zh-CN"/>
          <w14:ligatures w14:val="none"/>
        </w:rPr>
        <w:t>Guided Identification of Microbial Signatures Linking Androgen Modulation to Accelerated Diabetic Wound Healing</w:t>
      </w:r>
    </w:p>
    <w:p w14:paraId="79141BD9" w14:textId="421A4B1E" w:rsidR="00C315D2" w:rsidRPr="00EB0B6E" w:rsidRDefault="00CF476F" w:rsidP="00C315D2">
      <w:pPr>
        <w:spacing w:after="0" w:line="240" w:lineRule="auto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等线" w:hAnsi="Arial" w:cs="Calibri" w:hint="eastAsia"/>
          <w:b/>
          <w:kern w:val="0"/>
          <w:sz w:val="20"/>
          <w:szCs w:val="20"/>
          <w:u w:val="single"/>
          <w:lang w:eastAsia="zh-CN"/>
          <w14:ligatures w14:val="none"/>
        </w:rPr>
        <w:t>Ziyang</w:t>
      </w:r>
      <w:r w:rsidR="00D916DE">
        <w:rPr>
          <w:rFonts w:ascii="Arial" w:eastAsia="等线" w:hAnsi="Arial" w:cs="Calibri"/>
          <w:b/>
          <w:kern w:val="0"/>
          <w:sz w:val="20"/>
          <w:szCs w:val="20"/>
          <w:u w:val="single"/>
          <w:lang w:eastAsia="zh-CN"/>
          <w14:ligatures w14:val="none"/>
        </w:rPr>
        <w:t xml:space="preserve"> Sun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EB0B6E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, Qian</w:t>
      </w:r>
      <w:r w:rsidR="00D916D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Tan</w:t>
      </w:r>
      <w:r w:rsidR="00EB0B6E" w:rsidRPr="00CF476F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1</w:t>
      </w:r>
      <w:r w:rsidR="00EB0B6E" w:rsidRPr="004061C9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,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 Yiwei</w:t>
      </w:r>
      <w:r w:rsidR="00D916D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Wang</w:t>
      </w:r>
      <w:r w:rsidR="00D916DE" w:rsidRPr="00F91F56">
        <w:rPr>
          <w:rFonts w:ascii="Arial" w:eastAsia="等线" w:hAnsi="Arial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1,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</w:p>
    <w:p w14:paraId="6746C74A" w14:textId="3E03FAEC" w:rsidR="00CD3B61" w:rsidRDefault="00CD3B61" w:rsidP="4FE71DF4">
      <w:pPr>
        <w:spacing w:after="0" w:line="240" w:lineRule="auto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 w:rsidRPr="00CD3B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Burns and Plastic Surgery, Nanjing Drum Tower Hospital</w:t>
      </w:r>
      <w:r w:rsidR="00F91F56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,</w:t>
      </w:r>
      <w:r w:rsidRPr="00CD3B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Clinical College, Nanjing University of Chinese Medicine</w:t>
      </w:r>
      <w:r w:rsidRPr="00CD3B61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1</w:t>
      </w:r>
      <w:r w:rsidRPr="00CD3B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Nanjing, Jiangsu, China.</w:t>
      </w:r>
    </w:p>
    <w:p w14:paraId="47D76891" w14:textId="2F69DA85" w:rsidR="00C315D2" w:rsidRPr="00C315D2" w:rsidRDefault="00CD3B6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D3B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Jiangsu Provincial Engineering Research Center of TCM External Medication Development and Application, School of Pharmacy, Nanjing University of Chinese Medicine</w:t>
      </w:r>
      <w:r w:rsidRPr="00CD3B61">
        <w:rPr>
          <w:rFonts w:ascii="Arial" w:eastAsia="等线" w:hAnsi="Arial" w:cs="Calibri" w:hint="eastAsia"/>
          <w:bCs/>
          <w:kern w:val="0"/>
          <w:sz w:val="20"/>
          <w:szCs w:val="20"/>
          <w:vertAlign w:val="superscript"/>
          <w:lang w:eastAsia="zh-CN"/>
          <w14:ligatures w14:val="none"/>
        </w:rPr>
        <w:t>2</w:t>
      </w:r>
      <w:r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>,</w:t>
      </w:r>
      <w:r w:rsidRPr="00CD3B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Nanjing, Jiangsu, China.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3DC781DF" w14:textId="1B856E8D" w:rsidR="00F95FAE" w:rsidRDefault="00B8473A" w:rsidP="00F91F56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Chronic diabetic wounds remain a clinical challenge due to persistent inflammation and impaired tissue repair. Androgen deprivation (via surgical castration) has shown potential in enhancing wound healing,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however,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impact of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androgen levels on the wound microbiome remains poorly understood.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this study, we combined high-throughput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16S rRNA sequencing with explainable AI modeling to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investigate </w:t>
      </w:r>
      <w:r w:rsidR="00D916DE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how castration reshapes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wound microbiota and to identify bacterial taxa that promote or hinder healing.</w:t>
      </w:r>
    </w:p>
    <w:p w14:paraId="62C7A772" w14:textId="77777777" w:rsidR="00F95FAE" w:rsidRDefault="00F95FAE" w:rsidP="00F91F56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</w:p>
    <w:p w14:paraId="34828B29" w14:textId="742D3E20" w:rsidR="00C14114" w:rsidRPr="00C14114" w:rsidRDefault="00C315D2" w:rsidP="00D916DE">
      <w:pPr>
        <w:spacing w:after="0" w:line="240" w:lineRule="auto"/>
        <w:jc w:val="both"/>
        <w:rPr>
          <w:rFonts w:ascii="Calibri" w:eastAsia="等线" w:hAnsi="Calibri" w:cs="Times New Roman"/>
          <w:b/>
          <w:bCs/>
          <w:kern w:val="0"/>
          <w:lang w:val="en-GB" w:eastAsia="zh-CN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Male db/db mice were randomised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castration </w:t>
      </w:r>
      <w:r w:rsidR="00D916D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and </w:t>
      </w:r>
      <w:r w:rsidR="00DE3EDD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control </w:t>
      </w:r>
      <w:r w:rsidR="00DE3EDD" w:rsidRPr="00DE3EDD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>groups</w:t>
      </w:r>
      <w:r w:rsidR="00D01F17" w:rsidRPr="00DE3ED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Seven days </w:t>
      </w:r>
      <w:r w:rsidR="00D916D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post-castration</w:t>
      </w:r>
      <w:r w:rsidR="00DE3EDD" w:rsidRPr="00DE3EDD">
        <w:rPr>
          <w:rFonts w:ascii="Arial" w:hAnsi="Arial" w:cs="Arial"/>
          <w:bCs/>
          <w:kern w:val="0"/>
          <w:sz w:val="20"/>
          <w:szCs w:val="20"/>
          <w:lang w:eastAsia="zh-CN"/>
          <w14:ligatures w14:val="none"/>
        </w:rPr>
        <w:t>,</w:t>
      </w:r>
      <w:r w:rsidR="00D01F17" w:rsidRPr="00DE3ED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 1 cm² full-thickness dorsal wound was created. Wound closure was photographed on days 3, 7 and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14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erum testosterone and dihydrotestosterone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levels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quantified 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via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LC-MS/MS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Histological analysis included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H&amp;E, Masson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’s Trichrome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PCNA, CD206</w:t>
      </w:r>
      <w:r w:rsidR="00D916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staining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also conducted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Wound tissue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 analysed by</w:t>
      </w:r>
      <w:r w:rsidR="00B1641A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RT-qPCR for Il1b, Il6, Il10, Arg1 and Mrc1, and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by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16S rRNA sequencing with PICRUSt2 functional prediction. Genus-level log-abundances, time points and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wound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closure rates were merged, filtered by LASSO,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modelled using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random-forest regression and interpreted with SHAP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atent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associations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were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validated using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linear mixed-effects (LME) and generalised additive models (GAM)</w:t>
      </w:r>
      <w:r w:rsidR="00C14114" w:rsidRPr="00C1411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0F5BBD26" w14:textId="77777777" w:rsidR="006D6B2C" w:rsidRDefault="006D6B2C" w:rsidP="00D916DE">
      <w:pPr>
        <w:spacing w:after="0" w:line="240" w:lineRule="auto"/>
        <w:jc w:val="both"/>
        <w:rPr>
          <w:noProof/>
        </w:rPr>
      </w:pPr>
    </w:p>
    <w:p w14:paraId="7A6A1625" w14:textId="1C12378E" w:rsidR="00C315D2" w:rsidRDefault="00F91F56" w:rsidP="00D916DE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DE46CC" wp14:editId="0E02556F">
            <wp:simplePos x="0" y="0"/>
            <wp:positionH relativeFrom="margin">
              <wp:posOffset>2563219</wp:posOffset>
            </wp:positionH>
            <wp:positionV relativeFrom="paragraph">
              <wp:posOffset>1363704</wp:posOffset>
            </wp:positionV>
            <wp:extent cx="282829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387" y="21363"/>
                <wp:lineTo x="21387" y="0"/>
                <wp:lineTo x="0" y="0"/>
              </wp:wrapPolygon>
            </wp:wrapThrough>
            <wp:docPr id="14305995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" b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CC7">
        <w:rPr>
          <w:rFonts w:ascii="Arial" w:eastAsia="Calibri" w:hAnsi="Arial" w:cs="Calibr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AD35577" wp14:editId="01EA14C9">
            <wp:simplePos x="0" y="0"/>
            <wp:positionH relativeFrom="column">
              <wp:posOffset>473075</wp:posOffset>
            </wp:positionH>
            <wp:positionV relativeFrom="paragraph">
              <wp:posOffset>1352550</wp:posOffset>
            </wp:positionV>
            <wp:extent cx="1873250" cy="1819275"/>
            <wp:effectExtent l="0" t="0" r="0" b="9525"/>
            <wp:wrapTopAndBottom/>
            <wp:docPr id="16604896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8965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378"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Castration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significantly increased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day-14 closure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</w:t>
      </w:r>
      <w:r w:rsidR="00493BAA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81.8 ± 1.4%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 compared to controls (</w:t>
      </w:r>
      <w:r w:rsidR="00493BAA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64.0 ± 4.9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%)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(p &lt; 0.01).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Alpha diversity indices (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Chao and Shannon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increased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by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1.5-fold</w:t>
      </w:r>
      <w:r w:rsidR="00493BAA">
        <w:rPr>
          <w:rFonts w:ascii="Arial" w:eastAsia="等线" w:hAnsi="Arial" w:cs="Calibri" w:hint="eastAsia"/>
          <w:bCs/>
          <w:kern w:val="0"/>
          <w:sz w:val="20"/>
          <w:szCs w:val="20"/>
          <w:lang w:eastAsia="zh-CN"/>
          <w14:ligatures w14:val="none"/>
        </w:rPr>
        <w:t xml:space="preserve">. </w:t>
      </w:r>
      <w:r w:rsidR="006D6B2C" w:rsidRPr="00493BAA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Escherichia–Shigella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abundance increased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while </w:t>
      </w:r>
      <w:r w:rsidR="006D6B2C" w:rsidRPr="00493BAA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Staphylococcus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</w:t>
      </w:r>
      <w:r w:rsidR="006D6B2C" w:rsidRPr="00493BAA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Rhodococcus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decrased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alongsie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enrichment of energy- and carbohydrate-metabolism pathways and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suppression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of pathogen-associated pathways. 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qPCR showed sharp reductions in </w:t>
      </w:r>
      <w:r w:rsidR="0011174E" w:rsidRPr="0011174E">
        <w:rPr>
          <w:rFonts w:ascii="Arial" w:eastAsia="等线" w:hAnsi="Arial" w:cs="Calibri"/>
          <w:bCs/>
          <w:i/>
          <w:iCs/>
          <w:kern w:val="0"/>
          <w:sz w:val="20"/>
          <w:szCs w:val="20"/>
          <w:lang w:eastAsia="zh-CN"/>
          <w14:ligatures w14:val="none"/>
        </w:rPr>
        <w:t>Il1b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and </w:t>
      </w:r>
      <w:r w:rsidR="0011174E" w:rsidRPr="0011174E">
        <w:rPr>
          <w:rFonts w:ascii="Arial" w:eastAsia="等线" w:hAnsi="Arial" w:cs="Calibri"/>
          <w:bCs/>
          <w:i/>
          <w:iCs/>
          <w:kern w:val="0"/>
          <w:sz w:val="20"/>
          <w:szCs w:val="20"/>
          <w:lang w:eastAsia="zh-CN"/>
          <w14:ligatures w14:val="none"/>
        </w:rPr>
        <w:t>Il6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by day 3</w:t>
      </w:r>
      <w:r w:rsidR="00B1641A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and significant upregulation of </w:t>
      </w:r>
      <w:r w:rsidR="0011174E" w:rsidRPr="0011174E">
        <w:rPr>
          <w:rFonts w:ascii="Arial" w:eastAsia="等线" w:hAnsi="Arial" w:cs="Calibri"/>
          <w:bCs/>
          <w:i/>
          <w:iCs/>
          <w:kern w:val="0"/>
          <w:sz w:val="20"/>
          <w:szCs w:val="20"/>
          <w:lang w:eastAsia="zh-CN"/>
          <w14:ligatures w14:val="none"/>
        </w:rPr>
        <w:t>Il10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and </w:t>
      </w:r>
      <w:r w:rsidR="0011174E" w:rsidRPr="0011174E">
        <w:rPr>
          <w:rFonts w:ascii="Arial" w:eastAsia="等线" w:hAnsi="Arial" w:cs="Calibri"/>
          <w:bCs/>
          <w:i/>
          <w:iCs/>
          <w:kern w:val="0"/>
          <w:sz w:val="20"/>
          <w:szCs w:val="20"/>
          <w:lang w:eastAsia="zh-CN"/>
          <w14:ligatures w14:val="none"/>
        </w:rPr>
        <w:t>Mrc1</w:t>
      </w:r>
      <w:r w:rsidR="0011174E" w:rsidRPr="0011174E"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  <w:t xml:space="preserve"> by day 7, indicating an early and sustained anti-inflammatory shift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SHAP ranked</w:t>
      </w:r>
      <w:r w:rsidR="006D6B2C" w:rsidRPr="00493BAA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 xml:space="preserve"> Escherichia–Shigella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the top pro-healing genus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LME marginal R² = 0.914, GAM adjusted R² = 0.956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).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Histolog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ical analysis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confirmed faster re-epithelialisation, denser collagen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deposition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B1641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increased 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CD206</w:t>
      </w:r>
      <w:r w:rsidR="006D6B2C" w:rsidRPr="00493BAA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⁺</w:t>
      </w:r>
      <w:r w:rsidR="006D6B2C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(M2) macrophages after castration</w:t>
      </w:r>
      <w:r w:rsidR="004061C9" w:rsidRPr="00493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(see Figure 1, Figure2)</w:t>
      </w:r>
      <w:r w:rsidR="00C315D2" w:rsidRPr="00493BA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</w:t>
      </w:r>
      <w:r w:rsidR="00B179D8" w:rsidRPr="00B179D8">
        <w:t xml:space="preserve"> </w:t>
      </w:r>
    </w:p>
    <w:p w14:paraId="15214800" w14:textId="6572AEE7" w:rsidR="00811CC7" w:rsidRPr="00811CC7" w:rsidRDefault="00C315D2" w:rsidP="00811CC7">
      <w:pPr>
        <w:spacing w:after="0" w:line="240" w:lineRule="auto"/>
        <w:jc w:val="both"/>
        <w:rPr>
          <w:rFonts w:ascii="Arial" w:eastAsia="等线" w:hAnsi="Arial" w:cs="Calibri"/>
          <w:kern w:val="0"/>
          <w:sz w:val="20"/>
          <w:szCs w:val="20"/>
          <w:lang w:val="en-GB" w:eastAsia="zh-CN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811CC7" w:rsidRPr="00811CC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Genus-level composition of wound microbiota across castrated (DBCas) and non-castrated (DBNC) diabetic mice at Day 3 and Day 7</w:t>
      </w:r>
    </w:p>
    <w:p w14:paraId="44719324" w14:textId="7CAD43FD" w:rsidR="00C315D2" w:rsidRPr="00936D4C" w:rsidRDefault="00811CC7" w:rsidP="00811CC7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00811CC7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Figure 2.</w:t>
      </w:r>
      <w:r w:rsidRPr="00811CC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B179D8" w:rsidRPr="00B179D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SHAP summary plot of top predictors from Random Forest model (Day-3 &amp; Day-7 pooled).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53134C8" w14:textId="17994D46" w:rsidR="00B179D8" w:rsidRDefault="00B8473A" w:rsidP="00F91F56">
      <w:pPr>
        <w:spacing w:after="0" w:line="240" w:lineRule="auto"/>
        <w:jc w:val="both"/>
        <w:rPr>
          <w:rFonts w:ascii="Arial" w:eastAsia="等线" w:hAnsi="Arial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6D6B2C" w:rsidRPr="006D6B2C"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Androgen deprivation enhances diabetic wound healing by diversifying the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wound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microbiome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suppressing early inflammation, promoting M2 macrophage polarization, and enriching beneficial metabolic pathways while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reducing</w:t>
      </w:r>
      <w:r w:rsidR="00A77428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pathogenic taxa. The integrated LASSO–RF–SHAP framework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explained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over 96% of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variance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healing outcomes,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offering</w:t>
      </w:r>
      <w:r w:rsidR="00A77428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robust microbial biomarkers to 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inform</w:t>
      </w:r>
      <w:r w:rsidR="00A77428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precision therapies targeting the endocrine</w:t>
      </w:r>
      <w:r w:rsidR="00A7742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</w:t>
      </w:r>
      <w:r w:rsidR="00D01F17" w:rsidRPr="00D01F1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microbiome axis. </w:t>
      </w:r>
    </w:p>
    <w:p w14:paraId="146993CD" w14:textId="77777777" w:rsidR="00D01F17" w:rsidRPr="00B179D8" w:rsidRDefault="00D01F17" w:rsidP="006D6B2C">
      <w:pPr>
        <w:spacing w:after="0" w:line="240" w:lineRule="auto"/>
        <w:rPr>
          <w:rFonts w:ascii="Arial" w:eastAsia="等线" w:hAnsi="Arial" w:cs="Calibri"/>
          <w:bCs/>
          <w:kern w:val="0"/>
          <w:sz w:val="20"/>
          <w:szCs w:val="20"/>
          <w:lang w:val="en-US" w:eastAsia="zh-CN"/>
          <w14:ligatures w14:val="none"/>
        </w:rPr>
      </w:pPr>
    </w:p>
    <w:p w14:paraId="2C801966" w14:textId="61259E8C" w:rsidR="00C315D2" w:rsidRPr="00C315D2" w:rsidRDefault="00C315D2" w:rsidP="006D6B2C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7FFEE3B8" w:rsidR="00113BB7" w:rsidRPr="009B1CBB" w:rsidRDefault="0003584D" w:rsidP="006D6B2C">
      <w:pPr>
        <w:spacing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03584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(1) Xu Z.et al(2025). Unlocking the role of wound microbiome in diabetic, burn, and germ-free wound repair treated by natural and synthetic scaffolds. Acta Pharmaceutica Sinica B.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D2B3" w14:textId="77777777" w:rsidR="00A8524C" w:rsidRDefault="00A8524C" w:rsidP="0003584D">
      <w:pPr>
        <w:spacing w:after="0" w:line="240" w:lineRule="auto"/>
      </w:pPr>
      <w:r>
        <w:separator/>
      </w:r>
    </w:p>
  </w:endnote>
  <w:endnote w:type="continuationSeparator" w:id="0">
    <w:p w14:paraId="7ED2AE6D" w14:textId="77777777" w:rsidR="00A8524C" w:rsidRDefault="00A8524C" w:rsidP="000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5CCC" w14:textId="77777777" w:rsidR="00A8524C" w:rsidRDefault="00A8524C" w:rsidP="0003584D">
      <w:pPr>
        <w:spacing w:after="0" w:line="240" w:lineRule="auto"/>
      </w:pPr>
      <w:r>
        <w:separator/>
      </w:r>
    </w:p>
  </w:footnote>
  <w:footnote w:type="continuationSeparator" w:id="0">
    <w:p w14:paraId="4C8B13A5" w14:textId="77777777" w:rsidR="00A8524C" w:rsidRDefault="00A8524C" w:rsidP="0003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00F3"/>
    <w:rsid w:val="0003584D"/>
    <w:rsid w:val="00107368"/>
    <w:rsid w:val="0011174E"/>
    <w:rsid w:val="00113BB7"/>
    <w:rsid w:val="00165973"/>
    <w:rsid w:val="001D7C12"/>
    <w:rsid w:val="002017E6"/>
    <w:rsid w:val="00294059"/>
    <w:rsid w:val="003206E4"/>
    <w:rsid w:val="003A6D5C"/>
    <w:rsid w:val="0040229A"/>
    <w:rsid w:val="004061C9"/>
    <w:rsid w:val="004212F9"/>
    <w:rsid w:val="00493BAA"/>
    <w:rsid w:val="004A51B6"/>
    <w:rsid w:val="004B43BE"/>
    <w:rsid w:val="00510CF8"/>
    <w:rsid w:val="00575A29"/>
    <w:rsid w:val="00601754"/>
    <w:rsid w:val="006A34BE"/>
    <w:rsid w:val="006D6B2C"/>
    <w:rsid w:val="006F3F1C"/>
    <w:rsid w:val="007141F2"/>
    <w:rsid w:val="007561D8"/>
    <w:rsid w:val="00795378"/>
    <w:rsid w:val="00796206"/>
    <w:rsid w:val="007C367E"/>
    <w:rsid w:val="008071C5"/>
    <w:rsid w:val="00811CC7"/>
    <w:rsid w:val="008D5520"/>
    <w:rsid w:val="00906D34"/>
    <w:rsid w:val="00933DC9"/>
    <w:rsid w:val="00936D4C"/>
    <w:rsid w:val="009523F9"/>
    <w:rsid w:val="009650DF"/>
    <w:rsid w:val="009B1CBB"/>
    <w:rsid w:val="009B2F13"/>
    <w:rsid w:val="00A0516D"/>
    <w:rsid w:val="00A77428"/>
    <w:rsid w:val="00A8524C"/>
    <w:rsid w:val="00B1641A"/>
    <w:rsid w:val="00B179D8"/>
    <w:rsid w:val="00B4567B"/>
    <w:rsid w:val="00B4721D"/>
    <w:rsid w:val="00B8473A"/>
    <w:rsid w:val="00B871F4"/>
    <w:rsid w:val="00C14114"/>
    <w:rsid w:val="00C21815"/>
    <w:rsid w:val="00C315D2"/>
    <w:rsid w:val="00C353D8"/>
    <w:rsid w:val="00C92618"/>
    <w:rsid w:val="00CD3B61"/>
    <w:rsid w:val="00CF476F"/>
    <w:rsid w:val="00CF5A91"/>
    <w:rsid w:val="00D01F17"/>
    <w:rsid w:val="00D02BB1"/>
    <w:rsid w:val="00D21927"/>
    <w:rsid w:val="00D45A74"/>
    <w:rsid w:val="00D7428F"/>
    <w:rsid w:val="00D916DE"/>
    <w:rsid w:val="00DE3EDD"/>
    <w:rsid w:val="00E15FAD"/>
    <w:rsid w:val="00EB0B6E"/>
    <w:rsid w:val="00EC3746"/>
    <w:rsid w:val="00EE02E9"/>
    <w:rsid w:val="00F539FB"/>
    <w:rsid w:val="00F85528"/>
    <w:rsid w:val="00F91F56"/>
    <w:rsid w:val="00F95FAE"/>
    <w:rsid w:val="00FA4A61"/>
    <w:rsid w:val="00FF705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58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58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58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584D"/>
    <w:rPr>
      <w:sz w:val="18"/>
      <w:szCs w:val="18"/>
    </w:rPr>
  </w:style>
  <w:style w:type="paragraph" w:styleId="af2">
    <w:name w:val="Revision"/>
    <w:hidden/>
    <w:uiPriority w:val="99"/>
    <w:semiHidden/>
    <w:rsid w:val="00D91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子洋 孙</cp:lastModifiedBy>
  <cp:revision>3</cp:revision>
  <dcterms:created xsi:type="dcterms:W3CDTF">2025-07-28T10:07:00Z</dcterms:created>
  <dcterms:modified xsi:type="dcterms:W3CDTF">2025-07-30T09:06:00Z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