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5A24FC22" w:rsidR="00C315D2" w:rsidRPr="00C315D2" w:rsidRDefault="00AC035F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AC035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RCT of pre-procedural chewables in children fasting before surgery. </w:t>
      </w:r>
    </w:p>
    <w:p w14:paraId="79141BD9" w14:textId="3DFB58E5" w:rsidR="00C315D2" w:rsidRPr="00C315D2" w:rsidRDefault="00497EB8" w:rsidP="00940063">
      <w:pPr>
        <w:spacing w:after="0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12C27">
        <w:rPr>
          <w:rFonts w:ascii="Arial" w:hAnsi="Arial" w:cs="Arial"/>
          <w:b/>
          <w:bCs/>
          <w:sz w:val="20"/>
          <w:szCs w:val="20"/>
          <w:u w:val="single"/>
        </w:rPr>
        <w:t>O. Yoo</w:t>
      </w:r>
      <w:r w:rsidRPr="001F3419">
        <w:rPr>
          <w:rFonts w:ascii="Arial" w:hAnsi="Arial" w:cs="Arial"/>
          <w:sz w:val="20"/>
          <w:szCs w:val="20"/>
          <w:vertAlign w:val="superscript"/>
        </w:rPr>
        <w:t>1,2,3,4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E44AE" w:rsidRPr="00FE44AE">
        <w:rPr>
          <w:rFonts w:ascii="Arial" w:hAnsi="Arial" w:cs="Arial"/>
          <w:sz w:val="20"/>
          <w:szCs w:val="20"/>
        </w:rPr>
        <w:t>D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Sommerfield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1B5828">
        <w:rPr>
          <w:rFonts w:ascii="Arial" w:hAnsi="Arial" w:cs="Arial"/>
          <w:sz w:val="20"/>
          <w:szCs w:val="20"/>
          <w:vertAlign w:val="superscript"/>
        </w:rPr>
        <w:t>5,6</w:t>
      </w:r>
      <w:r w:rsidR="00364ECE">
        <w:rPr>
          <w:rFonts w:ascii="Arial" w:hAnsi="Arial" w:cs="Arial"/>
          <w:sz w:val="20"/>
          <w:szCs w:val="20"/>
          <w:vertAlign w:val="superscript"/>
        </w:rPr>
        <w:t>,7</w:t>
      </w:r>
      <w:r w:rsidR="00FE44AE" w:rsidRPr="00FE44AE">
        <w:rPr>
          <w:rFonts w:ascii="Arial" w:hAnsi="Arial" w:cs="Arial"/>
          <w:sz w:val="20"/>
          <w:szCs w:val="20"/>
        </w:rPr>
        <w:t xml:space="preserve">, </w:t>
      </w:r>
      <w:r w:rsidR="00AB6232" w:rsidRPr="00AB6232">
        <w:rPr>
          <w:rFonts w:ascii="Arial" w:hAnsi="Arial" w:cs="Arial"/>
          <w:sz w:val="20"/>
          <w:szCs w:val="20"/>
        </w:rPr>
        <w:t>Daisy Evans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240ABB">
        <w:rPr>
          <w:rFonts w:ascii="Arial" w:hAnsi="Arial" w:cs="Arial"/>
          <w:sz w:val="20"/>
          <w:szCs w:val="20"/>
          <w:vertAlign w:val="superscript"/>
        </w:rPr>
        <w:t>5,7</w:t>
      </w:r>
      <w:r w:rsidR="00FE44AE" w:rsidRPr="00FE44AE">
        <w:rPr>
          <w:rFonts w:ascii="Arial" w:hAnsi="Arial" w:cs="Arial"/>
          <w:sz w:val="20"/>
          <w:szCs w:val="20"/>
        </w:rPr>
        <w:t>, N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Hauser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240ABB">
        <w:rPr>
          <w:rFonts w:ascii="Arial" w:hAnsi="Arial" w:cs="Arial"/>
          <w:sz w:val="20"/>
          <w:szCs w:val="20"/>
          <w:vertAlign w:val="superscript"/>
        </w:rPr>
        <w:t>5,6,7</w:t>
      </w:r>
      <w:r w:rsidR="00FE44AE" w:rsidRPr="00FE44AE">
        <w:rPr>
          <w:rFonts w:ascii="Arial" w:hAnsi="Arial" w:cs="Arial"/>
          <w:sz w:val="20"/>
          <w:szCs w:val="20"/>
        </w:rPr>
        <w:t>, N</w:t>
      </w:r>
      <w:r w:rsidR="00352A5E">
        <w:rPr>
          <w:rFonts w:ascii="Arial" w:hAnsi="Arial" w:cs="Arial"/>
          <w:sz w:val="20"/>
          <w:szCs w:val="20"/>
        </w:rPr>
        <w:t>.</w:t>
      </w:r>
      <w:r w:rsidR="00FE44AE" w:rsidRPr="00FE44AE">
        <w:rPr>
          <w:rFonts w:ascii="Arial" w:hAnsi="Arial" w:cs="Arial"/>
          <w:sz w:val="20"/>
          <w:szCs w:val="20"/>
        </w:rPr>
        <w:t xml:space="preserve"> Khan</w:t>
      </w:r>
      <w:r w:rsidR="005E73E5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4853D1">
        <w:rPr>
          <w:rFonts w:ascii="Arial" w:hAnsi="Arial" w:cs="Arial"/>
          <w:sz w:val="20"/>
          <w:szCs w:val="20"/>
          <w:vertAlign w:val="superscript"/>
        </w:rPr>
        <w:t>5,8</w:t>
      </w:r>
      <w:r w:rsidR="00FE44AE" w:rsidRPr="00FE44AE">
        <w:rPr>
          <w:rFonts w:ascii="Arial" w:hAnsi="Arial" w:cs="Arial"/>
          <w:sz w:val="20"/>
          <w:szCs w:val="20"/>
        </w:rPr>
        <w:t xml:space="preserve">, </w:t>
      </w:r>
      <w:r w:rsidR="00D961C6" w:rsidRPr="001F3419">
        <w:rPr>
          <w:rFonts w:ascii="Arial" w:hAnsi="Arial" w:cs="Arial"/>
          <w:sz w:val="20"/>
          <w:szCs w:val="20"/>
        </w:rPr>
        <w:t>L.Y Lim</w:t>
      </w:r>
      <w:r w:rsidR="00D961C6" w:rsidRPr="001F3419">
        <w:rPr>
          <w:rFonts w:ascii="Arial" w:hAnsi="Arial" w:cs="Arial"/>
          <w:sz w:val="20"/>
          <w:szCs w:val="20"/>
          <w:vertAlign w:val="superscript"/>
        </w:rPr>
        <w:t>1,2,3</w:t>
      </w:r>
      <w:r w:rsidR="00D961C6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E44AE" w:rsidRPr="00FE44AE">
        <w:rPr>
          <w:rFonts w:ascii="Arial" w:hAnsi="Arial" w:cs="Arial"/>
          <w:sz w:val="20"/>
          <w:szCs w:val="20"/>
        </w:rPr>
        <w:t xml:space="preserve">and </w:t>
      </w:r>
      <w:r w:rsidR="007C44DD" w:rsidRPr="00FE44AE">
        <w:rPr>
          <w:rFonts w:ascii="Arial" w:hAnsi="Arial" w:cs="Arial"/>
          <w:sz w:val="20"/>
          <w:szCs w:val="20"/>
        </w:rPr>
        <w:t>B</w:t>
      </w:r>
      <w:r w:rsidR="007C44DD">
        <w:rPr>
          <w:rFonts w:ascii="Arial" w:hAnsi="Arial" w:cs="Arial"/>
          <w:sz w:val="20"/>
          <w:szCs w:val="20"/>
        </w:rPr>
        <w:t>.</w:t>
      </w:r>
      <w:r w:rsidR="007C44DD" w:rsidRPr="00FE44AE">
        <w:rPr>
          <w:rFonts w:ascii="Arial" w:hAnsi="Arial" w:cs="Arial"/>
          <w:sz w:val="20"/>
          <w:szCs w:val="20"/>
        </w:rPr>
        <w:t xml:space="preserve"> von Ungern-Sternberg</w:t>
      </w:r>
      <w:r w:rsidR="007C44DD" w:rsidRPr="001F3419">
        <w:rPr>
          <w:rFonts w:ascii="Arial" w:hAnsi="Arial" w:cs="Arial"/>
          <w:sz w:val="20"/>
          <w:szCs w:val="20"/>
          <w:vertAlign w:val="superscript"/>
        </w:rPr>
        <w:t>2,</w:t>
      </w:r>
      <w:r w:rsidR="007C44DD">
        <w:rPr>
          <w:rFonts w:ascii="Arial" w:hAnsi="Arial" w:cs="Arial"/>
          <w:sz w:val="20"/>
          <w:szCs w:val="20"/>
          <w:vertAlign w:val="superscript"/>
        </w:rPr>
        <w:t>5,6,7</w:t>
      </w:r>
    </w:p>
    <w:p w14:paraId="47D76891" w14:textId="70416C53" w:rsidR="00C315D2" w:rsidRPr="00B842F8" w:rsidRDefault="00DD487C" w:rsidP="00B87B36">
      <w:pPr>
        <w:spacing w:after="0" w:line="240" w:lineRule="auto"/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</w:pPr>
      <w:r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Pharmacy, School of Health</w:t>
      </w:r>
      <w:r w:rsidR="00352A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 and Clinical Sciences</w:t>
      </w:r>
      <w:r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University of Western Australia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1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3718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Perth, WA, </w:t>
      </w:r>
      <w:r w:rsidR="00DA663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Australia</w:t>
      </w:r>
      <w:r w:rsidR="00DB589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37185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6009</w:t>
      </w:r>
      <w:r w:rsidR="00F539FB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DB589D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 </w:t>
      </w:r>
      <w:r w:rsidR="008D242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Institute for Paediatric Perioperative Excellence, The University of Western Australia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2</w:t>
      </w:r>
      <w:r w:rsidR="00C315D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, </w:t>
      </w:r>
      <w:r w:rsidR="006D1E7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Perth, WA, Australia</w:t>
      </w:r>
      <w:r w:rsidR="00867332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6009</w:t>
      </w:r>
      <w:r w:rsidR="006D1E7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8F7AA6" w:rsidRPr="00B842F8">
        <w:rPr>
          <w:sz w:val="16"/>
          <w:szCs w:val="16"/>
        </w:rPr>
        <w:t xml:space="preserve"> 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Centre for Optimisation of Medicines, School of </w:t>
      </w:r>
      <w:r w:rsidR="00E935D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Health an</w:t>
      </w:r>
      <w:r w:rsidR="00866A70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 Clinical Sciences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University of Western Australia</w:t>
      </w:r>
      <w:r w:rsidR="0055467E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3</w:t>
      </w:r>
      <w:r w:rsidR="008F7AA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WA, Australia, 6009</w:t>
      </w:r>
      <w:r w:rsidR="0055467E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7734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Wesfarmers Centre for Vaccines and Infectious Diseases, The Kids Research Institute</w:t>
      </w:r>
      <w:r w:rsidR="00B67434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4</w:t>
      </w:r>
      <w:r w:rsidR="00B7734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Nedlands, WA, Australia, 6009</w:t>
      </w:r>
      <w:r w:rsidR="007B1EB1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;</w:t>
      </w:r>
      <w:r w:rsidR="00B87B36" w:rsidRPr="00B842F8">
        <w:rPr>
          <w:sz w:val="16"/>
          <w:szCs w:val="16"/>
        </w:rPr>
        <w:t xml:space="preserve">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Perioperative Medicine Team, Perioperative Care Program, Telethon Kids Institute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5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Division of Emergency Medicine, Anaesthesia and Pain Medicine, Medical School, The University of Western Australia</w:t>
      </w:r>
      <w:r w:rsidR="003305C4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6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Anaesthesia and Pain Medicine, Perth Children’s Hospital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7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  <w:r w:rsidR="00EC556F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 xml:space="preserve">; 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Department of Mathematics and Statistics, The University of Western Australia</w:t>
      </w:r>
      <w:r w:rsidR="001A14FF" w:rsidRPr="00B842F8">
        <w:rPr>
          <w:rFonts w:ascii="Arial" w:eastAsia="Calibri" w:hAnsi="Arial" w:cs="Calibri"/>
          <w:bCs/>
          <w:kern w:val="0"/>
          <w:sz w:val="16"/>
          <w:szCs w:val="16"/>
          <w:vertAlign w:val="superscript"/>
          <w14:ligatures w14:val="none"/>
        </w:rPr>
        <w:t>8</w:t>
      </w:r>
      <w:r w:rsidR="00B87B36" w:rsidRPr="00B842F8">
        <w:rPr>
          <w:rFonts w:ascii="Arial" w:eastAsia="Calibri" w:hAnsi="Arial" w:cs="Calibri"/>
          <w:bCs/>
          <w:kern w:val="0"/>
          <w:sz w:val="16"/>
          <w:szCs w:val="16"/>
          <w14:ligatures w14:val="none"/>
        </w:rPr>
        <w:t>, Perth, WA 6009, Australia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541D2895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Pre-operative fasting </w:t>
      </w:r>
      <w:r w:rsidR="00D961C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 recommended to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reduc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 the risk of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pulmonary aspiration 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during general anaesthesia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Fasting can be stressful for young children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leading to irritability, hypotension on induction and 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potential </w:t>
      </w:r>
      <w:r w:rsidR="007316FC" w:rsidRPr="007316F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catabolic state. Previous adult studies used carbohydrate-rich drinks to help with fasting</w:t>
      </w:r>
      <w:r w:rsidR="00994CB4" w:rsidRPr="00994CB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8F59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571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</w:t>
      </w:r>
      <w:r w:rsidR="00B57171" w:rsidRPr="00B571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his study aimed to evaluate the efficacy of a pre-procedural carbohydrate chewable versus a commercial fasting drink (</w:t>
      </w:r>
      <w:r w:rsidR="00D961C6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DEX</w:t>
      </w:r>
      <w:r w:rsidR="00D961C6" w:rsidRPr="00AC26DE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TM</w:t>
      </w:r>
      <w:r w:rsidR="00B57171" w:rsidRPr="00B571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 in children undergoing surgery.</w:t>
      </w:r>
      <w:r w:rsidR="00FB6D2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4FDE97A2" w:rsidR="00C315D2" w:rsidRPr="00C315D2" w:rsidRDefault="00C315D2" w:rsidP="00E6751E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 conducted a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single-centre, open-label clinical trial to evaluate efficacy and acceptability in children of pre-procedural carbohydrate-based chewables for use in pre-procedural fasting</w:t>
      </w:r>
      <w:r w:rsidR="00B72D7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Phase one involved patients scheduled for an upper gastrointestinal endoscopy who were offered 20 pre-procedural chewables up to one hour prior to surgery to ensure no residue was seen 1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our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after consuming. In phase two, 300 children undergoing elective, day-stay surgical procedures were randomised to receive either the pre-procedural chewables, DEX</w:t>
      </w:r>
      <w:r w:rsidR="00E6751E" w:rsidRPr="00AC26DE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TM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 standard clinical care (no fasting intervention). Children’s behaviour, anxiety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acceptance and consumption of the randomised intervention (if applicable) were assessed pre-operatively. Blood glucose and ketone levels were measured following anaesthesia induction. Post-operative delirium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nausea and vomiting were assessed. 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articipants </w:t>
      </w:r>
      <w:r w:rsidR="00BB6FF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were also asked </w:t>
      </w:r>
      <w:r w:rsidR="00E6751E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about the ease of fasting, and whether the intervention helped.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44719324" w14:textId="504A242B" w:rsidR="00C315D2" w:rsidRPr="00936D4C" w:rsidRDefault="00795378" w:rsidP="00AD1AA6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BB6FF9" w:rsidRPr="00142ED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p</w:t>
      </w:r>
      <w:r w:rsidR="00AD1AA6" w:rsidRPr="00142ED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hase 1</w:t>
      </w:r>
      <w:r w:rsidR="00BB6F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of the RCT,</w:t>
      </w:r>
      <w:r w:rsidR="00AD1AA6" w:rsidRPr="00BB6F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no adverse events and no visible chewables </w:t>
      </w:r>
      <w:r w:rsidR="00BB6F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were observed 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in 23 recruited patients at gastric endoscopy.  Parents and children thought the chewables helped with fasting tolerance. </w:t>
      </w:r>
      <w:r w:rsidR="00BB6FF9" w:rsidRPr="00142ED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p</w:t>
      </w:r>
      <w:r w:rsidR="00AD1AA6" w:rsidRPr="00142ED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hase 2</w:t>
      </w:r>
      <w:r w:rsidR="00BB6FF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of the RCT,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72% of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children in the chewables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arm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(n = 100) 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thought they helped compared to 46%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</w:t>
      </w:r>
      <w:r w:rsidR="00D961C6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DEX</w:t>
      </w:r>
      <w:r w:rsidR="00D961C6" w:rsidRPr="00AC26DE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TM</w:t>
      </w:r>
      <w:r w:rsidR="00D961C6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61C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arm (n = 100)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Similarly, 75% of parents thought the chewables helped with their child’s fasting compared to 55% in the </w:t>
      </w:r>
      <w:r w:rsidR="00D961C6" w:rsidRPr="00E6751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DEX</w:t>
      </w:r>
      <w:r w:rsidR="00D961C6" w:rsidRPr="00AC26DE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TM</w:t>
      </w:r>
      <w:r w:rsidR="00AD1AA6" w:rsidRPr="00AD1AA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group</w:t>
      </w:r>
      <w:r w:rsidR="00936D4C" w:rsidRPr="2021B9E9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4A0151F5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56E4D" w:rsidRPr="00A56E4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These findings suggest that the chewable formulation is a viable and preferred alternative for</w:t>
      </w:r>
      <w:r w:rsidR="00D961C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</w:t>
      </w:r>
      <w:r w:rsidR="00A56E4D" w:rsidRPr="00A56E4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D961C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pre-operative management of </w:t>
      </w:r>
      <w:r w:rsidR="00A56E4D" w:rsidRPr="00A56E4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children undergoing elective surger</w:t>
      </w:r>
      <w:r w:rsidR="00A56E4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y</w:t>
      </w:r>
      <w:r w:rsidR="005B6779" w:rsidRPr="005B677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74093CE4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126A98"/>
    <w:rsid w:val="00142ED4"/>
    <w:rsid w:val="001A14FF"/>
    <w:rsid w:val="001B5828"/>
    <w:rsid w:val="001F3419"/>
    <w:rsid w:val="002017E6"/>
    <w:rsid w:val="00206A84"/>
    <w:rsid w:val="00240ABB"/>
    <w:rsid w:val="00294059"/>
    <w:rsid w:val="0031737D"/>
    <w:rsid w:val="003206E4"/>
    <w:rsid w:val="003305C4"/>
    <w:rsid w:val="00352A5E"/>
    <w:rsid w:val="00364ECE"/>
    <w:rsid w:val="0037185E"/>
    <w:rsid w:val="003A6D5C"/>
    <w:rsid w:val="003C49C6"/>
    <w:rsid w:val="003C4F94"/>
    <w:rsid w:val="00451476"/>
    <w:rsid w:val="004846C1"/>
    <w:rsid w:val="004853D1"/>
    <w:rsid w:val="00497EB8"/>
    <w:rsid w:val="004A51B6"/>
    <w:rsid w:val="004C53F4"/>
    <w:rsid w:val="004F0D32"/>
    <w:rsid w:val="00510CF8"/>
    <w:rsid w:val="0055467E"/>
    <w:rsid w:val="00575A29"/>
    <w:rsid w:val="005B6779"/>
    <w:rsid w:val="005C7EC0"/>
    <w:rsid w:val="005E73E5"/>
    <w:rsid w:val="00601754"/>
    <w:rsid w:val="006A34BE"/>
    <w:rsid w:val="006A422D"/>
    <w:rsid w:val="006A599B"/>
    <w:rsid w:val="006D1E71"/>
    <w:rsid w:val="006E1E6F"/>
    <w:rsid w:val="006F3F1C"/>
    <w:rsid w:val="007141F2"/>
    <w:rsid w:val="007316FC"/>
    <w:rsid w:val="00754A44"/>
    <w:rsid w:val="007561D8"/>
    <w:rsid w:val="00795378"/>
    <w:rsid w:val="00796206"/>
    <w:rsid w:val="007B1EB1"/>
    <w:rsid w:val="007C367E"/>
    <w:rsid w:val="007C44DD"/>
    <w:rsid w:val="007C7E4E"/>
    <w:rsid w:val="007F253E"/>
    <w:rsid w:val="008071C5"/>
    <w:rsid w:val="00815691"/>
    <w:rsid w:val="00866A70"/>
    <w:rsid w:val="00867332"/>
    <w:rsid w:val="00875D8B"/>
    <w:rsid w:val="008B059B"/>
    <w:rsid w:val="008D2421"/>
    <w:rsid w:val="008E7EA5"/>
    <w:rsid w:val="008F596E"/>
    <w:rsid w:val="008F7AA6"/>
    <w:rsid w:val="00906D34"/>
    <w:rsid w:val="00933DC9"/>
    <w:rsid w:val="00936D4C"/>
    <w:rsid w:val="00940063"/>
    <w:rsid w:val="009523F9"/>
    <w:rsid w:val="009650DF"/>
    <w:rsid w:val="00994CB4"/>
    <w:rsid w:val="009A6329"/>
    <w:rsid w:val="009B1CBB"/>
    <w:rsid w:val="00A0516D"/>
    <w:rsid w:val="00A56E4D"/>
    <w:rsid w:val="00A90BC8"/>
    <w:rsid w:val="00AB6232"/>
    <w:rsid w:val="00AC035F"/>
    <w:rsid w:val="00AC26DE"/>
    <w:rsid w:val="00AD1AA6"/>
    <w:rsid w:val="00B23D79"/>
    <w:rsid w:val="00B4721D"/>
    <w:rsid w:val="00B57171"/>
    <w:rsid w:val="00B67434"/>
    <w:rsid w:val="00B72D7E"/>
    <w:rsid w:val="00B7734F"/>
    <w:rsid w:val="00B83482"/>
    <w:rsid w:val="00B842F8"/>
    <w:rsid w:val="00B8473A"/>
    <w:rsid w:val="00B87B36"/>
    <w:rsid w:val="00BB6A0F"/>
    <w:rsid w:val="00BB6FF9"/>
    <w:rsid w:val="00BE3C87"/>
    <w:rsid w:val="00C12C27"/>
    <w:rsid w:val="00C21815"/>
    <w:rsid w:val="00C315D2"/>
    <w:rsid w:val="00C353D8"/>
    <w:rsid w:val="00C86A6D"/>
    <w:rsid w:val="00C94F41"/>
    <w:rsid w:val="00CF5A91"/>
    <w:rsid w:val="00D02BB1"/>
    <w:rsid w:val="00D45A74"/>
    <w:rsid w:val="00D55A24"/>
    <w:rsid w:val="00D7428F"/>
    <w:rsid w:val="00D859E2"/>
    <w:rsid w:val="00D961C6"/>
    <w:rsid w:val="00DA663D"/>
    <w:rsid w:val="00DB589D"/>
    <w:rsid w:val="00DD487C"/>
    <w:rsid w:val="00E025BE"/>
    <w:rsid w:val="00E2527B"/>
    <w:rsid w:val="00E432CC"/>
    <w:rsid w:val="00E6751E"/>
    <w:rsid w:val="00E743BE"/>
    <w:rsid w:val="00E935DF"/>
    <w:rsid w:val="00EC3746"/>
    <w:rsid w:val="00EC556F"/>
    <w:rsid w:val="00EE5656"/>
    <w:rsid w:val="00F53722"/>
    <w:rsid w:val="00F539FB"/>
    <w:rsid w:val="00F85528"/>
    <w:rsid w:val="00FB0939"/>
    <w:rsid w:val="00FB6D2F"/>
    <w:rsid w:val="00FE44A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7E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Okhee Yoo</cp:lastModifiedBy>
  <cp:revision>5</cp:revision>
  <dcterms:created xsi:type="dcterms:W3CDTF">2025-07-15T06:54:00Z</dcterms:created>
  <dcterms:modified xsi:type="dcterms:W3CDTF">2025-07-20T09:41:00Z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