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FEFF" w14:textId="77777777" w:rsidR="003D38F1" w:rsidRPr="00F33DD8" w:rsidRDefault="003D38F1" w:rsidP="0067605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33DD8">
        <w:rPr>
          <w:rFonts w:ascii="Calibri" w:hAnsi="Calibri" w:cs="Calibri"/>
          <w:b/>
          <w:bCs/>
          <w:sz w:val="20"/>
          <w:szCs w:val="20"/>
        </w:rPr>
        <w:t>Self-sampling for precision dosing in oncology-preliminary data</w:t>
      </w:r>
    </w:p>
    <w:p w14:paraId="36CAEE36" w14:textId="7375A6B0" w:rsidR="00656B43" w:rsidRDefault="003D38F1" w:rsidP="00FD0351">
      <w:pPr>
        <w:rPr>
          <w:rFonts w:ascii="Calibri" w:hAnsi="Calibri" w:cs="Calibri"/>
          <w:sz w:val="20"/>
          <w:szCs w:val="20"/>
        </w:rPr>
      </w:pPr>
      <w:r w:rsidRPr="00F33DD8">
        <w:rPr>
          <w:rFonts w:ascii="Calibri" w:hAnsi="Calibri" w:cs="Calibri"/>
          <w:sz w:val="20"/>
          <w:szCs w:val="20"/>
        </w:rPr>
        <w:t>Mirjana Radovanovic</w:t>
      </w:r>
      <w:r w:rsidRPr="00F33DD8">
        <w:rPr>
          <w:rFonts w:ascii="Calibri" w:hAnsi="Calibri" w:cs="Calibri"/>
          <w:sz w:val="20"/>
          <w:szCs w:val="20"/>
          <w:vertAlign w:val="superscript"/>
        </w:rPr>
        <w:t>1</w:t>
      </w:r>
      <w:r w:rsidRPr="00F33DD8">
        <w:rPr>
          <w:rFonts w:ascii="Calibri" w:hAnsi="Calibri" w:cs="Calibri"/>
          <w:sz w:val="20"/>
          <w:szCs w:val="20"/>
        </w:rPr>
        <w:t>, Raina Naik</w:t>
      </w:r>
      <w:r w:rsidRPr="00F33DD8">
        <w:rPr>
          <w:rFonts w:ascii="Calibri" w:hAnsi="Calibri" w:cs="Calibri"/>
          <w:sz w:val="20"/>
          <w:szCs w:val="20"/>
          <w:vertAlign w:val="superscript"/>
        </w:rPr>
        <w:t>2</w:t>
      </w:r>
      <w:r w:rsidRPr="00F33DD8">
        <w:rPr>
          <w:rFonts w:ascii="Calibri" w:hAnsi="Calibri" w:cs="Calibri"/>
          <w:sz w:val="20"/>
          <w:szCs w:val="20"/>
        </w:rPr>
        <w:t>, Sara</w:t>
      </w:r>
      <w:r w:rsidR="00E3182C">
        <w:rPr>
          <w:rFonts w:ascii="Calibri" w:hAnsi="Calibri" w:cs="Calibri"/>
          <w:sz w:val="20"/>
          <w:szCs w:val="20"/>
        </w:rPr>
        <w:t>h</w:t>
      </w:r>
      <w:r w:rsidRPr="00F33DD8">
        <w:rPr>
          <w:rFonts w:ascii="Calibri" w:hAnsi="Calibri" w:cs="Calibri"/>
          <w:sz w:val="20"/>
          <w:szCs w:val="20"/>
        </w:rPr>
        <w:t xml:space="preserve"> Glewis</w:t>
      </w:r>
      <w:r w:rsidRPr="00F33DD8">
        <w:rPr>
          <w:rFonts w:ascii="Calibri" w:hAnsi="Calibri" w:cs="Calibri"/>
          <w:sz w:val="20"/>
          <w:szCs w:val="20"/>
          <w:vertAlign w:val="superscript"/>
        </w:rPr>
        <w:t>2</w:t>
      </w:r>
      <w:r w:rsidRPr="00F33DD8">
        <w:rPr>
          <w:rFonts w:ascii="Calibri" w:hAnsi="Calibri" w:cs="Calibri"/>
          <w:sz w:val="20"/>
          <w:szCs w:val="20"/>
        </w:rPr>
        <w:t xml:space="preserve">, </w:t>
      </w:r>
      <w:r w:rsidR="009605A3">
        <w:rPr>
          <w:rFonts w:ascii="Calibri" w:hAnsi="Calibri" w:cs="Calibri"/>
          <w:sz w:val="20"/>
          <w:szCs w:val="20"/>
        </w:rPr>
        <w:t xml:space="preserve">May </w:t>
      </w:r>
      <w:r w:rsidR="00232C1A">
        <w:rPr>
          <w:rFonts w:ascii="Calibri" w:hAnsi="Calibri" w:cs="Calibri"/>
          <w:sz w:val="20"/>
          <w:szCs w:val="20"/>
        </w:rPr>
        <w:t>Darwish</w:t>
      </w:r>
      <w:r w:rsidR="00232C1A" w:rsidRPr="00F33DD8">
        <w:rPr>
          <w:rFonts w:ascii="Calibri" w:hAnsi="Calibri" w:cs="Calibri"/>
          <w:sz w:val="20"/>
          <w:szCs w:val="20"/>
          <w:vertAlign w:val="superscript"/>
        </w:rPr>
        <w:t>2</w:t>
      </w:r>
      <w:r w:rsidR="00232C1A">
        <w:rPr>
          <w:rFonts w:ascii="Calibri" w:hAnsi="Calibri" w:cs="Calibri"/>
          <w:sz w:val="20"/>
          <w:szCs w:val="20"/>
        </w:rPr>
        <w:t xml:space="preserve">, </w:t>
      </w:r>
      <w:r w:rsidRPr="00F33DD8">
        <w:rPr>
          <w:rFonts w:ascii="Calibri" w:hAnsi="Calibri" w:cs="Calibri"/>
          <w:sz w:val="20"/>
          <w:szCs w:val="20"/>
        </w:rPr>
        <w:t>Jen</w:t>
      </w:r>
      <w:r w:rsidR="00754EC5">
        <w:rPr>
          <w:rFonts w:ascii="Calibri" w:hAnsi="Calibri" w:cs="Calibri"/>
          <w:sz w:val="20"/>
          <w:szCs w:val="20"/>
        </w:rPr>
        <w:t>n</w:t>
      </w:r>
      <w:r w:rsidR="00E957C3">
        <w:rPr>
          <w:rFonts w:ascii="Calibri" w:hAnsi="Calibri" w:cs="Calibri"/>
          <w:sz w:val="20"/>
          <w:szCs w:val="20"/>
        </w:rPr>
        <w:t>i</w:t>
      </w:r>
      <w:r w:rsidRPr="00F33DD8">
        <w:rPr>
          <w:rFonts w:ascii="Calibri" w:hAnsi="Calibri" w:cs="Calibri"/>
          <w:sz w:val="20"/>
          <w:szCs w:val="20"/>
        </w:rPr>
        <w:t>fer H Martin</w:t>
      </w:r>
      <w:r w:rsidRPr="00F33DD8">
        <w:rPr>
          <w:rFonts w:ascii="Calibri" w:hAnsi="Calibri" w:cs="Calibri"/>
          <w:sz w:val="20"/>
          <w:szCs w:val="20"/>
          <w:vertAlign w:val="superscript"/>
        </w:rPr>
        <w:t>1</w:t>
      </w:r>
      <w:r w:rsidRPr="00F33DD8">
        <w:rPr>
          <w:rFonts w:ascii="Calibri" w:hAnsi="Calibri" w:cs="Calibri"/>
          <w:sz w:val="20"/>
          <w:szCs w:val="20"/>
        </w:rPr>
        <w:t>, Marliese Alexander</w:t>
      </w:r>
      <w:r w:rsidRPr="00F33DD8">
        <w:rPr>
          <w:rFonts w:ascii="Calibri" w:hAnsi="Calibri" w:cs="Calibri"/>
          <w:sz w:val="20"/>
          <w:szCs w:val="20"/>
          <w:vertAlign w:val="superscript"/>
        </w:rPr>
        <w:t>2</w:t>
      </w:r>
      <w:r w:rsidRPr="00F33DD8">
        <w:rPr>
          <w:rFonts w:ascii="Calibri" w:hAnsi="Calibri" w:cs="Calibri"/>
          <w:sz w:val="20"/>
          <w:szCs w:val="20"/>
        </w:rPr>
        <w:t xml:space="preserve">. </w:t>
      </w:r>
    </w:p>
    <w:p w14:paraId="1AC86F6E" w14:textId="619719D7" w:rsidR="003D38F1" w:rsidRPr="00F33DD8" w:rsidRDefault="003D38F1" w:rsidP="00FD0351">
      <w:pPr>
        <w:rPr>
          <w:rFonts w:ascii="Calibri" w:eastAsia="Aptos" w:hAnsi="Calibri" w:cs="Calibri"/>
          <w:bCs/>
          <w:sz w:val="20"/>
          <w:szCs w:val="20"/>
        </w:rPr>
      </w:pPr>
      <w:r w:rsidRPr="00F33DD8">
        <w:rPr>
          <w:rFonts w:ascii="Calibri" w:eastAsia="Aptos" w:hAnsi="Calibri" w:cs="Calibri"/>
          <w:bCs/>
          <w:sz w:val="20"/>
          <w:szCs w:val="20"/>
        </w:rPr>
        <w:t>Centre for Drug Repurposing and Medicines Research, Uni</w:t>
      </w:r>
      <w:r w:rsidR="00631213">
        <w:rPr>
          <w:rFonts w:ascii="Calibri" w:eastAsia="Aptos" w:hAnsi="Calibri" w:cs="Calibri"/>
          <w:bCs/>
          <w:sz w:val="20"/>
          <w:szCs w:val="20"/>
        </w:rPr>
        <w:t>versity</w:t>
      </w:r>
      <w:r w:rsidRPr="00F33DD8">
        <w:rPr>
          <w:rFonts w:ascii="Calibri" w:eastAsia="Aptos" w:hAnsi="Calibri" w:cs="Calibri"/>
          <w:bCs/>
          <w:sz w:val="20"/>
          <w:szCs w:val="20"/>
        </w:rPr>
        <w:t xml:space="preserve"> of Newcastle</w:t>
      </w:r>
      <w:r w:rsidR="00E957C3" w:rsidRPr="00E957C3">
        <w:rPr>
          <w:rFonts w:ascii="Calibri" w:eastAsia="Aptos" w:hAnsi="Calibri" w:cs="Calibri"/>
          <w:bCs/>
          <w:sz w:val="20"/>
          <w:szCs w:val="20"/>
          <w:vertAlign w:val="superscript"/>
        </w:rPr>
        <w:t>1</w:t>
      </w:r>
      <w:r w:rsidRPr="00F33DD8">
        <w:rPr>
          <w:rFonts w:ascii="Calibri" w:eastAsia="Aptos" w:hAnsi="Calibri" w:cs="Calibri"/>
          <w:bCs/>
          <w:sz w:val="20"/>
          <w:szCs w:val="20"/>
        </w:rPr>
        <w:t>, Callaghan, NSW, Australia</w:t>
      </w:r>
      <w:r w:rsidR="00FE56C9">
        <w:rPr>
          <w:rFonts w:ascii="Calibri" w:eastAsia="Aptos" w:hAnsi="Calibri" w:cs="Calibri"/>
          <w:bCs/>
          <w:sz w:val="20"/>
          <w:szCs w:val="20"/>
        </w:rPr>
        <w:t>;</w:t>
      </w:r>
      <w:r w:rsidR="00E957C3">
        <w:rPr>
          <w:rFonts w:ascii="Calibri" w:eastAsia="Aptos" w:hAnsi="Calibri" w:cs="Calibri"/>
          <w:bCs/>
          <w:sz w:val="20"/>
          <w:szCs w:val="20"/>
        </w:rPr>
        <w:t xml:space="preserve"> </w:t>
      </w:r>
      <w:r w:rsidRPr="00F33DD8">
        <w:rPr>
          <w:rFonts w:ascii="Calibri" w:eastAsia="Aptos" w:hAnsi="Calibri" w:cs="Calibri"/>
          <w:bCs/>
          <w:sz w:val="20"/>
          <w:szCs w:val="20"/>
        </w:rPr>
        <w:t>Peter MacCallum Cancer Centre</w:t>
      </w:r>
      <w:r w:rsidR="009129E2" w:rsidRPr="009129E2">
        <w:rPr>
          <w:rFonts w:ascii="Calibri" w:eastAsia="Aptos" w:hAnsi="Calibri" w:cs="Calibri"/>
          <w:bCs/>
          <w:sz w:val="20"/>
          <w:szCs w:val="20"/>
          <w:vertAlign w:val="superscript"/>
        </w:rPr>
        <w:t>2</w:t>
      </w:r>
      <w:r w:rsidRPr="00F33DD8">
        <w:rPr>
          <w:rFonts w:ascii="Calibri" w:eastAsia="Aptos" w:hAnsi="Calibri" w:cs="Calibri"/>
          <w:bCs/>
          <w:sz w:val="20"/>
          <w:szCs w:val="20"/>
        </w:rPr>
        <w:t xml:space="preserve">, </w:t>
      </w:r>
      <w:r w:rsidR="00081572">
        <w:rPr>
          <w:rFonts w:ascii="Calibri" w:eastAsia="Aptos" w:hAnsi="Calibri" w:cs="Calibri"/>
          <w:bCs/>
          <w:sz w:val="20"/>
          <w:szCs w:val="20"/>
        </w:rPr>
        <w:t>Melbourne,</w:t>
      </w:r>
      <w:r w:rsidR="00966E22">
        <w:rPr>
          <w:rFonts w:ascii="Calibri" w:eastAsia="Aptos" w:hAnsi="Calibri" w:cs="Calibri"/>
          <w:bCs/>
          <w:sz w:val="20"/>
          <w:szCs w:val="20"/>
        </w:rPr>
        <w:t xml:space="preserve"> V</w:t>
      </w:r>
      <w:r w:rsidR="00FD0351">
        <w:rPr>
          <w:rFonts w:ascii="Calibri" w:eastAsia="Aptos" w:hAnsi="Calibri" w:cs="Calibri"/>
          <w:bCs/>
          <w:sz w:val="20"/>
          <w:szCs w:val="20"/>
        </w:rPr>
        <w:t>IC,</w:t>
      </w:r>
      <w:r w:rsidR="00081572">
        <w:rPr>
          <w:rFonts w:ascii="Calibri" w:eastAsia="Aptos" w:hAnsi="Calibri" w:cs="Calibri"/>
          <w:bCs/>
          <w:sz w:val="20"/>
          <w:szCs w:val="20"/>
        </w:rPr>
        <w:t xml:space="preserve"> Australia</w:t>
      </w:r>
      <w:r w:rsidR="00966E22">
        <w:rPr>
          <w:rFonts w:ascii="Calibri" w:eastAsia="Aptos" w:hAnsi="Calibri" w:cs="Calibri"/>
          <w:bCs/>
          <w:sz w:val="20"/>
          <w:szCs w:val="20"/>
        </w:rPr>
        <w:t>.</w:t>
      </w:r>
      <w:r w:rsidR="00787EA9">
        <w:rPr>
          <w:rFonts w:ascii="Calibri" w:eastAsia="Aptos" w:hAnsi="Calibri" w:cs="Calibri"/>
          <w:bCs/>
          <w:sz w:val="20"/>
          <w:szCs w:val="20"/>
        </w:rPr>
        <w:t xml:space="preserve"> </w:t>
      </w:r>
    </w:p>
    <w:p w14:paraId="16678CEE" w14:textId="77777777" w:rsidR="003D38F1" w:rsidRPr="000E583B" w:rsidRDefault="003D38F1" w:rsidP="00FD0351">
      <w:pPr>
        <w:rPr>
          <w:sz w:val="20"/>
          <w:szCs w:val="20"/>
        </w:rPr>
      </w:pPr>
    </w:p>
    <w:p w14:paraId="1D964242" w14:textId="0E0375F6" w:rsidR="003D38F1" w:rsidRPr="00BA0EC4" w:rsidRDefault="003D38F1" w:rsidP="00291F1E">
      <w:pPr>
        <w:jc w:val="both"/>
        <w:rPr>
          <w:rFonts w:ascii="Calibri" w:hAnsi="Calibri" w:cs="Calibri"/>
          <w:sz w:val="20"/>
          <w:szCs w:val="20"/>
        </w:rPr>
      </w:pPr>
      <w:r w:rsidRPr="00F33DD8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42A13E5" wp14:editId="407CC7A2">
            <wp:simplePos x="0" y="0"/>
            <wp:positionH relativeFrom="column">
              <wp:posOffset>3849370</wp:posOffset>
            </wp:positionH>
            <wp:positionV relativeFrom="paragraph">
              <wp:posOffset>168275</wp:posOffset>
            </wp:positionV>
            <wp:extent cx="2265680" cy="1454785"/>
            <wp:effectExtent l="0" t="0" r="1270" b="0"/>
            <wp:wrapTight wrapText="bothSides">
              <wp:wrapPolygon edited="0">
                <wp:start x="0" y="0"/>
                <wp:lineTo x="0" y="21213"/>
                <wp:lineTo x="21430" y="21213"/>
                <wp:lineTo x="21430" y="0"/>
                <wp:lineTo x="0" y="0"/>
              </wp:wrapPolygon>
            </wp:wrapTight>
            <wp:docPr id="157940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45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DD8">
        <w:rPr>
          <w:rFonts w:ascii="Calibri" w:hAnsi="Calibri" w:cs="Calibri"/>
          <w:b/>
          <w:bCs/>
          <w:sz w:val="20"/>
          <w:szCs w:val="20"/>
        </w:rPr>
        <w:t>Introduction</w:t>
      </w:r>
      <w:r w:rsidRPr="00F33DD8">
        <w:rPr>
          <w:rFonts w:ascii="Calibri" w:hAnsi="Calibri" w:cs="Calibri"/>
          <w:sz w:val="20"/>
          <w:szCs w:val="20"/>
        </w:rPr>
        <w:t xml:space="preserve">. </w:t>
      </w:r>
      <w:r w:rsidRPr="00BA0EC4">
        <w:rPr>
          <w:rFonts w:ascii="Calibri" w:hAnsi="Calibri" w:cs="Calibri"/>
          <w:sz w:val="20"/>
          <w:szCs w:val="20"/>
        </w:rPr>
        <w:t xml:space="preserve">Precision dosing using </w:t>
      </w:r>
      <w:r w:rsidRPr="00BA0EC4">
        <w:rPr>
          <w:rStyle w:val="cf01"/>
          <w:rFonts w:ascii="Calibri" w:hAnsi="Calibri" w:cs="Calibri"/>
          <w:sz w:val="20"/>
          <w:szCs w:val="20"/>
        </w:rPr>
        <w:t>t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 xml:space="preserve">herapeutic </w:t>
      </w:r>
      <w:r w:rsidRPr="00BA0EC4">
        <w:rPr>
          <w:rStyle w:val="cf01"/>
          <w:rFonts w:ascii="Calibri" w:hAnsi="Calibri" w:cs="Calibri"/>
          <w:sz w:val="20"/>
          <w:szCs w:val="20"/>
        </w:rPr>
        <w:t>d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 xml:space="preserve">rug </w:t>
      </w:r>
      <w:r w:rsidRPr="00BA0EC4">
        <w:rPr>
          <w:rStyle w:val="cf01"/>
          <w:rFonts w:ascii="Calibri" w:hAnsi="Calibri" w:cs="Calibri"/>
          <w:sz w:val="20"/>
          <w:szCs w:val="20"/>
        </w:rPr>
        <w:t>m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>onitoring (TDM)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 </w:t>
      </w:r>
      <w:r w:rsidRPr="00BA0EC4">
        <w:rPr>
          <w:rFonts w:ascii="Calibri" w:hAnsi="Calibri" w:cs="Calibri"/>
          <w:sz w:val="20"/>
          <w:szCs w:val="20"/>
        </w:rPr>
        <w:t xml:space="preserve">has demonstrated improved outcomes for patients receiving 5-fluorouracil (5FU), however the optimal testing time is when a patient is usually at home, complicating compliance. Finger-prick </w:t>
      </w:r>
      <w:proofErr w:type="spellStart"/>
      <w:r w:rsidRPr="00BA0EC4">
        <w:rPr>
          <w:rFonts w:ascii="Calibri" w:hAnsi="Calibri" w:cs="Calibri"/>
          <w:sz w:val="20"/>
          <w:szCs w:val="20"/>
        </w:rPr>
        <w:t>microsampling</w:t>
      </w:r>
      <w:proofErr w:type="spellEnd"/>
      <w:r w:rsidRPr="00BA0EC4">
        <w:rPr>
          <w:rFonts w:ascii="Calibri" w:hAnsi="Calibri" w:cs="Calibri"/>
          <w:sz w:val="20"/>
          <w:szCs w:val="20"/>
        </w:rPr>
        <w:t xml:space="preserve"> self-collection could improve compliance if adequate sample quality can be achieved.</w:t>
      </w:r>
    </w:p>
    <w:p w14:paraId="28788F82" w14:textId="7A332BF1" w:rsidR="003D38F1" w:rsidRPr="00BA0EC4" w:rsidRDefault="003D38F1" w:rsidP="00676059">
      <w:pPr>
        <w:jc w:val="both"/>
        <w:rPr>
          <w:rFonts w:ascii="Calibri" w:hAnsi="Calibri" w:cs="Calibri"/>
          <w:sz w:val="20"/>
          <w:szCs w:val="20"/>
        </w:rPr>
      </w:pPr>
      <w:r w:rsidRPr="00BA0EC4">
        <w:rPr>
          <w:rFonts w:ascii="Calibri" w:hAnsi="Calibri" w:cs="Calibri"/>
          <w:b/>
          <w:bCs/>
          <w:sz w:val="20"/>
          <w:szCs w:val="20"/>
        </w:rPr>
        <w:t>Aims</w:t>
      </w:r>
      <w:r w:rsidRPr="00BA0EC4">
        <w:rPr>
          <w:rFonts w:ascii="Calibri" w:hAnsi="Calibri" w:cs="Calibri"/>
          <w:sz w:val="20"/>
          <w:szCs w:val="20"/>
        </w:rPr>
        <w:t xml:space="preserve">. To assess the quality of </w:t>
      </w:r>
      <w:proofErr w:type="spellStart"/>
      <w:r w:rsidRPr="00BA0EC4">
        <w:rPr>
          <w:rFonts w:ascii="Calibri" w:hAnsi="Calibri" w:cs="Calibri"/>
          <w:sz w:val="20"/>
          <w:szCs w:val="20"/>
        </w:rPr>
        <w:t>microsampling</w:t>
      </w:r>
      <w:proofErr w:type="spellEnd"/>
      <w:r w:rsidRPr="00BA0EC4">
        <w:rPr>
          <w:rFonts w:ascii="Calibri" w:hAnsi="Calibri" w:cs="Calibri"/>
          <w:sz w:val="20"/>
          <w:szCs w:val="20"/>
        </w:rPr>
        <w:t xml:space="preserve"> using a 2-sampler Mitra</w:t>
      </w:r>
      <w:r w:rsidRPr="00BA0EC4">
        <w:rPr>
          <w:rFonts w:ascii="Calibri" w:hAnsi="Calibri" w:cs="Calibri"/>
          <w:sz w:val="20"/>
          <w:szCs w:val="20"/>
          <w:vertAlign w:val="superscript"/>
        </w:rPr>
        <w:t>®</w:t>
      </w:r>
      <w:r w:rsidRPr="00BA0EC4">
        <w:rPr>
          <w:rFonts w:ascii="Calibri" w:hAnsi="Calibri" w:cs="Calibri"/>
          <w:sz w:val="20"/>
          <w:szCs w:val="20"/>
        </w:rPr>
        <w:t xml:space="preserve"> device &amp; a </w:t>
      </w:r>
      <w:proofErr w:type="spellStart"/>
      <w:r w:rsidRPr="00BA0EC4">
        <w:rPr>
          <w:rFonts w:ascii="Calibri" w:hAnsi="Calibri" w:cs="Calibri"/>
          <w:sz w:val="20"/>
          <w:szCs w:val="20"/>
        </w:rPr>
        <w:t>Telimmune</w:t>
      </w:r>
      <w:proofErr w:type="spellEnd"/>
      <w:r w:rsidRPr="00BA0EC4">
        <w:rPr>
          <w:rFonts w:ascii="Calibri" w:hAnsi="Calibri" w:cs="Calibri"/>
          <w:sz w:val="20"/>
          <w:szCs w:val="20"/>
          <w:vertAlign w:val="superscript"/>
        </w:rPr>
        <w:t xml:space="preserve">® </w:t>
      </w:r>
      <w:r w:rsidRPr="00BA0EC4">
        <w:rPr>
          <w:rFonts w:ascii="Calibri" w:hAnsi="Calibri" w:cs="Calibri"/>
          <w:sz w:val="20"/>
          <w:szCs w:val="20"/>
        </w:rPr>
        <w:t>UNO card, informed by initial PRECISION trial experience with longitudinal 5FU testing</w:t>
      </w:r>
      <w:r w:rsidR="00597FAC" w:rsidRPr="00BA0EC4">
        <w:rPr>
          <w:rFonts w:ascii="Calibri" w:hAnsi="Calibri" w:cs="Calibri"/>
          <w:sz w:val="20"/>
          <w:szCs w:val="20"/>
        </w:rPr>
        <w:t xml:space="preserve"> (ACTRN12624000079549)</w:t>
      </w:r>
      <w:r w:rsidRPr="00BA0EC4">
        <w:rPr>
          <w:rFonts w:ascii="Calibri" w:hAnsi="Calibri" w:cs="Calibri"/>
          <w:sz w:val="20"/>
          <w:szCs w:val="20"/>
        </w:rPr>
        <w:t>.</w:t>
      </w:r>
    </w:p>
    <w:p w14:paraId="3426242D" w14:textId="53CA7716" w:rsidR="003D38F1" w:rsidRPr="00BA0EC4" w:rsidRDefault="003D38F1" w:rsidP="00EF1E95">
      <w:pPr>
        <w:jc w:val="both"/>
        <w:rPr>
          <w:rStyle w:val="cf01"/>
          <w:rFonts w:ascii="Calibri" w:hAnsi="Calibri" w:cs="Calibri"/>
          <w:sz w:val="20"/>
          <w:szCs w:val="20"/>
        </w:rPr>
      </w:pPr>
      <w:r w:rsidRPr="00BA0EC4">
        <w:rPr>
          <w:rFonts w:ascii="Calibri" w:hAnsi="Calibri" w:cs="Calibri"/>
          <w:b/>
          <w:bCs/>
          <w:sz w:val="20"/>
          <w:szCs w:val="20"/>
        </w:rPr>
        <w:t>Methods</w:t>
      </w:r>
      <w:r w:rsidRPr="00BA0EC4">
        <w:rPr>
          <w:rFonts w:ascii="Calibri" w:hAnsi="Calibri" w:cs="Calibri"/>
          <w:sz w:val="20"/>
          <w:szCs w:val="20"/>
        </w:rPr>
        <w:t>. Patients</w:t>
      </w:r>
      <w:r w:rsidR="00FB2E0E">
        <w:rPr>
          <w:rFonts w:ascii="Calibri" w:hAnsi="Calibri" w:cs="Calibri"/>
          <w:sz w:val="20"/>
          <w:szCs w:val="20"/>
        </w:rPr>
        <w:t xml:space="preserve"> (</w:t>
      </w:r>
      <w:r w:rsidR="005C1669">
        <w:rPr>
          <w:rFonts w:ascii="Calibri" w:hAnsi="Calibri" w:cs="Calibri"/>
          <w:sz w:val="20"/>
          <w:szCs w:val="20"/>
        </w:rPr>
        <w:t>N</w:t>
      </w:r>
      <w:r w:rsidRPr="00BA0EC4">
        <w:rPr>
          <w:rFonts w:ascii="Calibri" w:hAnsi="Calibri" w:cs="Calibri"/>
          <w:sz w:val="20"/>
          <w:szCs w:val="20"/>
        </w:rPr>
        <w:t>=</w:t>
      </w:r>
      <w:r w:rsidR="00B44B26">
        <w:rPr>
          <w:rFonts w:ascii="Calibri" w:hAnsi="Calibri" w:cs="Calibri"/>
          <w:sz w:val="20"/>
          <w:szCs w:val="20"/>
        </w:rPr>
        <w:t>26</w:t>
      </w:r>
      <w:r w:rsidR="00EF1E95">
        <w:rPr>
          <w:rFonts w:ascii="Calibri" w:hAnsi="Calibri" w:cs="Calibri"/>
          <w:sz w:val="20"/>
          <w:szCs w:val="20"/>
        </w:rPr>
        <w:t>, 48</w:t>
      </w:r>
      <w:r w:rsidR="00FB2E0E">
        <w:rPr>
          <w:rFonts w:ascii="Calibri" w:hAnsi="Calibri" w:cs="Calibri"/>
          <w:sz w:val="20"/>
          <w:szCs w:val="20"/>
        </w:rPr>
        <w:t xml:space="preserve"> </w:t>
      </w:r>
      <w:r w:rsidR="00BE7B86">
        <w:rPr>
          <w:rFonts w:ascii="Calibri" w:hAnsi="Calibri" w:cs="Calibri"/>
          <w:sz w:val="20"/>
          <w:szCs w:val="20"/>
        </w:rPr>
        <w:t>TDM</w:t>
      </w:r>
      <w:r w:rsidR="00FE56C9">
        <w:rPr>
          <w:rFonts w:ascii="Calibri" w:hAnsi="Calibri" w:cs="Calibri"/>
          <w:sz w:val="20"/>
          <w:szCs w:val="20"/>
        </w:rPr>
        <w:t xml:space="preserve"> rounds</w:t>
      </w:r>
      <w:r w:rsidR="00FB2E0E">
        <w:rPr>
          <w:rFonts w:ascii="Calibri" w:hAnsi="Calibri" w:cs="Calibri"/>
          <w:sz w:val="20"/>
          <w:szCs w:val="20"/>
        </w:rPr>
        <w:t>)</w:t>
      </w:r>
      <w:r w:rsidR="00BE7B86">
        <w:rPr>
          <w:rFonts w:ascii="Calibri" w:hAnsi="Calibri" w:cs="Calibri"/>
          <w:sz w:val="20"/>
          <w:szCs w:val="20"/>
        </w:rPr>
        <w:t xml:space="preserve"> </w:t>
      </w:r>
      <w:r w:rsidRPr="00BA0EC4">
        <w:rPr>
          <w:rFonts w:ascii="Calibri" w:hAnsi="Calibri" w:cs="Calibri"/>
          <w:sz w:val="20"/>
          <w:szCs w:val="20"/>
        </w:rPr>
        <w:t xml:space="preserve">receiving a 5FU infusion had finger-prick samples taken both by themselves and by clinical staff, up to four samples per patient. 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>Sample quality was visually assessed by a trained scientist.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 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 xml:space="preserve">Mitra® devices were adequate if 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polymer 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 xml:space="preserve">tips were fully saturated 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with blood 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>without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 the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 xml:space="preserve"> 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white 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 xml:space="preserve">mesh 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visible, no 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>excess blood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 present on plastic holders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 xml:space="preserve">, or 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dark spots of dried 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 xml:space="preserve">coagulated 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blood was present on the tips. </w:t>
      </w:r>
      <w:proofErr w:type="spellStart"/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>Telimmune</w:t>
      </w:r>
      <w:proofErr w:type="spellEnd"/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>® UNO cards were adequate if the paper disc was evenly covered by a clear liquid smear without excess dried residue</w:t>
      </w:r>
      <w:r w:rsidRPr="00BA0EC4">
        <w:rPr>
          <w:rStyle w:val="cf01"/>
          <w:rFonts w:ascii="Calibri" w:hAnsi="Calibri" w:cs="Calibri"/>
          <w:sz w:val="20"/>
          <w:szCs w:val="20"/>
        </w:rPr>
        <w:t>. Patients received education via product guides, commercial and in-house videos and instruction leafle</w:t>
      </w:r>
      <w:r w:rsidR="00E77D03">
        <w:rPr>
          <w:rStyle w:val="cf01"/>
          <w:rFonts w:ascii="Calibri" w:hAnsi="Calibri" w:cs="Calibri"/>
          <w:sz w:val="20"/>
          <w:szCs w:val="20"/>
        </w:rPr>
        <w:t>ts.</w:t>
      </w:r>
    </w:p>
    <w:p w14:paraId="3646A3CC" w14:textId="35B01374" w:rsidR="003D38F1" w:rsidRPr="00BA0EC4" w:rsidRDefault="003D38F1" w:rsidP="00EF1E95">
      <w:pPr>
        <w:jc w:val="both"/>
        <w:rPr>
          <w:rFonts w:ascii="Calibri" w:hAnsi="Calibri" w:cs="Calibri"/>
          <w:sz w:val="20"/>
          <w:szCs w:val="20"/>
        </w:rPr>
      </w:pPr>
      <w:r w:rsidRPr="00BA0EC4">
        <w:rPr>
          <w:rFonts w:ascii="Calibri" w:hAnsi="Calibri" w:cs="Calibri"/>
          <w:b/>
          <w:bCs/>
          <w:sz w:val="20"/>
          <w:szCs w:val="20"/>
        </w:rPr>
        <w:t>Results</w:t>
      </w:r>
      <w:r w:rsidRPr="00BA0EC4">
        <w:rPr>
          <w:rFonts w:ascii="Calibri" w:hAnsi="Calibri" w:cs="Calibri"/>
          <w:sz w:val="20"/>
          <w:szCs w:val="20"/>
        </w:rPr>
        <w:t>. Overall sampling success by clinical staff was 86% (38/44; 66% for both samples) with Mitra</w:t>
      </w:r>
      <w:r w:rsidR="00141F94">
        <w:rPr>
          <w:rFonts w:ascii="Calibri" w:hAnsi="Calibri" w:cs="Calibri"/>
          <w:sz w:val="20"/>
          <w:szCs w:val="20"/>
        </w:rPr>
        <w:t>®</w:t>
      </w:r>
      <w:r w:rsidRPr="00BA0EC4">
        <w:rPr>
          <w:rFonts w:ascii="Calibri" w:hAnsi="Calibri" w:cs="Calibri"/>
          <w:sz w:val="20"/>
          <w:szCs w:val="20"/>
        </w:rPr>
        <w:t xml:space="preserve"> and 80% (36/45) with </w:t>
      </w:r>
      <w:proofErr w:type="spellStart"/>
      <w:r w:rsidRPr="00BA0EC4">
        <w:rPr>
          <w:rFonts w:ascii="Calibri" w:hAnsi="Calibri" w:cs="Calibri"/>
          <w:sz w:val="20"/>
          <w:szCs w:val="20"/>
        </w:rPr>
        <w:t>Telimmune</w:t>
      </w:r>
      <w:r w:rsidRPr="00BA0EC4">
        <w:rPr>
          <w:rFonts w:ascii="Calibri" w:hAnsi="Calibri" w:cs="Calibri"/>
          <w:sz w:val="20"/>
          <w:szCs w:val="20"/>
          <w:vertAlign w:val="superscript"/>
        </w:rPr>
        <w:t>®</w:t>
      </w:r>
      <w:r w:rsidRPr="00BA0EC4">
        <w:rPr>
          <w:rFonts w:ascii="Calibri" w:hAnsi="Calibri" w:cs="Calibri"/>
          <w:sz w:val="20"/>
          <w:szCs w:val="20"/>
        </w:rPr>
        <w:t>UNO</w:t>
      </w:r>
      <w:proofErr w:type="spellEnd"/>
      <w:r w:rsidRPr="00BA0EC4">
        <w:rPr>
          <w:rFonts w:ascii="Calibri" w:hAnsi="Calibri" w:cs="Calibri"/>
          <w:sz w:val="20"/>
          <w:szCs w:val="20"/>
        </w:rPr>
        <w:t xml:space="preserve">, compared </w:t>
      </w:r>
      <w:r w:rsidR="002C5479" w:rsidRPr="00BA0EC4">
        <w:rPr>
          <w:rFonts w:ascii="Calibri" w:hAnsi="Calibri" w:cs="Calibri"/>
          <w:sz w:val="20"/>
          <w:szCs w:val="20"/>
        </w:rPr>
        <w:t xml:space="preserve">to </w:t>
      </w:r>
      <w:r w:rsidRPr="00BA0EC4">
        <w:rPr>
          <w:rFonts w:ascii="Calibri" w:hAnsi="Calibri" w:cs="Calibri"/>
          <w:sz w:val="20"/>
          <w:szCs w:val="20"/>
        </w:rPr>
        <w:t xml:space="preserve">72% (30/42; 43% for 2 adequate samples) and 49% (19/39) respectively, for patient-collected samples. The reasons for rejection of both Mitra® samples (18 instances, 36 tips) were due to 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>underfilling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 (53%)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 xml:space="preserve"> and overfilling (</w:t>
      </w:r>
      <w:r w:rsidRPr="00BA0EC4">
        <w:rPr>
          <w:rStyle w:val="cf01"/>
          <w:rFonts w:ascii="Calibri" w:hAnsi="Calibri" w:cs="Calibri"/>
          <w:sz w:val="20"/>
          <w:szCs w:val="20"/>
        </w:rPr>
        <w:t>47%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>)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. For the </w:t>
      </w:r>
      <w:proofErr w:type="spellStart"/>
      <w:r w:rsidRPr="00BA0EC4">
        <w:rPr>
          <w:rFonts w:ascii="Calibri" w:hAnsi="Calibri" w:cs="Calibri"/>
          <w:sz w:val="20"/>
          <w:szCs w:val="20"/>
        </w:rPr>
        <w:t>Telimmune</w:t>
      </w:r>
      <w:r w:rsidRPr="00BA0EC4">
        <w:rPr>
          <w:rFonts w:ascii="Calibri" w:hAnsi="Calibri" w:cs="Calibri"/>
          <w:sz w:val="20"/>
          <w:szCs w:val="20"/>
          <w:vertAlign w:val="superscript"/>
        </w:rPr>
        <w:t>®</w:t>
      </w:r>
      <w:r w:rsidRPr="00BA0EC4">
        <w:rPr>
          <w:rFonts w:ascii="Calibri" w:hAnsi="Calibri" w:cs="Calibri"/>
          <w:sz w:val="20"/>
          <w:szCs w:val="20"/>
        </w:rPr>
        <w:t>UNO</w:t>
      </w:r>
      <w:proofErr w:type="spellEnd"/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 xml:space="preserve"> 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devices, sample inadequacy was mainly due to underfilling (45%, 38/84), followed by 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 xml:space="preserve">haemolysis (21%, </w:t>
      </w:r>
      <w:r w:rsidRPr="00BA0EC4">
        <w:rPr>
          <w:rStyle w:val="cf01"/>
          <w:rFonts w:ascii="Calibri" w:hAnsi="Calibri" w:cs="Calibri"/>
          <w:sz w:val="20"/>
          <w:szCs w:val="20"/>
        </w:rPr>
        <w:t>17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>/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84) and 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>overfilling (</w:t>
      </w:r>
      <w:r w:rsidRPr="00BA0EC4">
        <w:rPr>
          <w:rStyle w:val="cf01"/>
          <w:rFonts w:ascii="Calibri" w:hAnsi="Calibri" w:cs="Calibri"/>
          <w:sz w:val="20"/>
          <w:szCs w:val="20"/>
        </w:rPr>
        <w:t>20%, 16/84</w:t>
      </w:r>
      <w:r w:rsidRPr="00BA0EC4">
        <w:rPr>
          <w:rStyle w:val="cf01"/>
          <w:rFonts w:ascii="Calibri" w:eastAsiaTheme="majorEastAsia" w:hAnsi="Calibri" w:cs="Calibri"/>
          <w:sz w:val="20"/>
          <w:szCs w:val="20"/>
        </w:rPr>
        <w:t>)</w:t>
      </w:r>
      <w:r w:rsidRPr="00BA0EC4">
        <w:rPr>
          <w:rStyle w:val="cf01"/>
          <w:rFonts w:ascii="Calibri" w:hAnsi="Calibri" w:cs="Calibri"/>
          <w:sz w:val="20"/>
          <w:szCs w:val="20"/>
        </w:rPr>
        <w:t xml:space="preserve">. </w:t>
      </w:r>
    </w:p>
    <w:p w14:paraId="060D6D69" w14:textId="6AD05350" w:rsidR="00ED0AD2" w:rsidRPr="00BA0EC4" w:rsidRDefault="003D38F1" w:rsidP="00EF1E95">
      <w:pPr>
        <w:jc w:val="both"/>
        <w:rPr>
          <w:rFonts w:ascii="Calibri" w:hAnsi="Calibri" w:cs="Calibri"/>
          <w:sz w:val="20"/>
          <w:szCs w:val="20"/>
        </w:rPr>
      </w:pPr>
      <w:r w:rsidRPr="00BA0EC4">
        <w:rPr>
          <w:rFonts w:ascii="Calibri" w:hAnsi="Calibri" w:cs="Calibri"/>
          <w:b/>
          <w:bCs/>
          <w:sz w:val="20"/>
          <w:szCs w:val="20"/>
        </w:rPr>
        <w:t>Discussion.</w:t>
      </w:r>
      <w:r w:rsidRPr="00BA0EC4">
        <w:rPr>
          <w:rFonts w:ascii="Calibri" w:hAnsi="Calibri" w:cs="Calibri"/>
          <w:sz w:val="20"/>
          <w:szCs w:val="20"/>
        </w:rPr>
        <w:t xml:space="preserve"> Although the success rate of </w:t>
      </w:r>
      <w:proofErr w:type="spellStart"/>
      <w:r w:rsidRPr="00BA0EC4">
        <w:rPr>
          <w:rFonts w:ascii="Calibri" w:hAnsi="Calibri" w:cs="Calibri"/>
          <w:sz w:val="20"/>
          <w:szCs w:val="20"/>
        </w:rPr>
        <w:t>microsampling</w:t>
      </w:r>
      <w:proofErr w:type="spellEnd"/>
      <w:r w:rsidRPr="00BA0EC4">
        <w:rPr>
          <w:rFonts w:ascii="Calibri" w:hAnsi="Calibri" w:cs="Calibri"/>
          <w:sz w:val="20"/>
          <w:szCs w:val="20"/>
        </w:rPr>
        <w:t xml:space="preserve"> was higher when clinical staff performed the collection for both devices, poor sample quality produced by patients when using the </w:t>
      </w:r>
      <w:proofErr w:type="spellStart"/>
      <w:r w:rsidRPr="00BA0EC4">
        <w:rPr>
          <w:rFonts w:ascii="Calibri" w:hAnsi="Calibri" w:cs="Calibri"/>
          <w:sz w:val="20"/>
          <w:szCs w:val="20"/>
        </w:rPr>
        <w:t>Telimmune</w:t>
      </w:r>
      <w:proofErr w:type="spellEnd"/>
      <w:r w:rsidRPr="00BA0EC4">
        <w:rPr>
          <w:rFonts w:ascii="Calibri" w:hAnsi="Calibri" w:cs="Calibri"/>
          <w:sz w:val="20"/>
          <w:szCs w:val="20"/>
          <w:vertAlign w:val="superscript"/>
        </w:rPr>
        <w:t>®</w:t>
      </w:r>
      <w:r w:rsidRPr="00BA0EC4">
        <w:rPr>
          <w:rFonts w:ascii="Calibri" w:hAnsi="Calibri" w:cs="Calibri"/>
          <w:sz w:val="20"/>
          <w:szCs w:val="20"/>
        </w:rPr>
        <w:t xml:space="preserve"> cards, suggests the need for a comprehensive education programme or a more effective device before it can be implemented in clinical settings. </w:t>
      </w:r>
      <w:r w:rsidR="00BA02A2">
        <w:rPr>
          <w:rFonts w:ascii="Calibri" w:hAnsi="Calibri" w:cs="Calibri"/>
          <w:sz w:val="20"/>
          <w:szCs w:val="20"/>
        </w:rPr>
        <w:t>This work was f</w:t>
      </w:r>
      <w:r w:rsidR="007A524E" w:rsidRPr="00BA0EC4">
        <w:rPr>
          <w:rFonts w:ascii="Calibri" w:hAnsi="Calibri" w:cs="Calibri"/>
          <w:sz w:val="20"/>
          <w:szCs w:val="20"/>
        </w:rPr>
        <w:t xml:space="preserve">unded by </w:t>
      </w:r>
      <w:r w:rsidR="003D22D9">
        <w:rPr>
          <w:rFonts w:ascii="Calibri" w:hAnsi="Calibri" w:cs="Calibri"/>
          <w:sz w:val="20"/>
          <w:szCs w:val="20"/>
        </w:rPr>
        <w:t xml:space="preserve">The </w:t>
      </w:r>
      <w:r w:rsidR="00F14D08">
        <w:rPr>
          <w:rFonts w:ascii="Calibri" w:hAnsi="Calibri" w:cs="Calibri"/>
          <w:sz w:val="20"/>
          <w:szCs w:val="20"/>
        </w:rPr>
        <w:t xml:space="preserve">Australian Medical Research Future </w:t>
      </w:r>
      <w:r w:rsidR="003D22D9">
        <w:rPr>
          <w:rFonts w:ascii="Calibri" w:hAnsi="Calibri" w:cs="Calibri"/>
          <w:sz w:val="20"/>
          <w:szCs w:val="20"/>
        </w:rPr>
        <w:t>F</w:t>
      </w:r>
      <w:r w:rsidR="00F14D08">
        <w:rPr>
          <w:rFonts w:ascii="Calibri" w:hAnsi="Calibri" w:cs="Calibri"/>
          <w:sz w:val="20"/>
          <w:szCs w:val="20"/>
        </w:rPr>
        <w:t>und</w:t>
      </w:r>
      <w:r w:rsidR="007A524E" w:rsidRPr="00BA0EC4">
        <w:rPr>
          <w:rFonts w:ascii="Calibri" w:hAnsi="Calibri" w:cs="Calibri"/>
          <w:sz w:val="20"/>
          <w:szCs w:val="20"/>
        </w:rPr>
        <w:t xml:space="preserve"> (MRFFMMIP000011).</w:t>
      </w:r>
    </w:p>
    <w:sectPr w:rsidR="00ED0AD2" w:rsidRPr="00BA0EC4" w:rsidSect="003D38F1">
      <w:pgSz w:w="11906" w:h="8391" w:orient="landscape" w:code="11"/>
      <w:pgMar w:top="426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1"/>
    <w:rsid w:val="0003529D"/>
    <w:rsid w:val="00081572"/>
    <w:rsid w:val="000A465C"/>
    <w:rsid w:val="000E488B"/>
    <w:rsid w:val="00141F94"/>
    <w:rsid w:val="00232C1A"/>
    <w:rsid w:val="00284627"/>
    <w:rsid w:val="00291F1E"/>
    <w:rsid w:val="002C5479"/>
    <w:rsid w:val="002D260F"/>
    <w:rsid w:val="003D22D9"/>
    <w:rsid w:val="003D38F1"/>
    <w:rsid w:val="00492DA5"/>
    <w:rsid w:val="0052329A"/>
    <w:rsid w:val="00597FAC"/>
    <w:rsid w:val="005C1669"/>
    <w:rsid w:val="005C299E"/>
    <w:rsid w:val="005C4376"/>
    <w:rsid w:val="006060B4"/>
    <w:rsid w:val="00631213"/>
    <w:rsid w:val="00656B43"/>
    <w:rsid w:val="00676059"/>
    <w:rsid w:val="00684EED"/>
    <w:rsid w:val="006A0230"/>
    <w:rsid w:val="00744A9F"/>
    <w:rsid w:val="00754EC5"/>
    <w:rsid w:val="00787EA9"/>
    <w:rsid w:val="00796D0E"/>
    <w:rsid w:val="007A524E"/>
    <w:rsid w:val="007C6275"/>
    <w:rsid w:val="007E4C0D"/>
    <w:rsid w:val="007F3B40"/>
    <w:rsid w:val="009129E2"/>
    <w:rsid w:val="00915773"/>
    <w:rsid w:val="009605A3"/>
    <w:rsid w:val="00966E22"/>
    <w:rsid w:val="009B37A4"/>
    <w:rsid w:val="00A109BC"/>
    <w:rsid w:val="00A50E1E"/>
    <w:rsid w:val="00A959D9"/>
    <w:rsid w:val="00AC76D2"/>
    <w:rsid w:val="00B0740D"/>
    <w:rsid w:val="00B44B26"/>
    <w:rsid w:val="00B64FA4"/>
    <w:rsid w:val="00BA02A2"/>
    <w:rsid w:val="00BA0EC4"/>
    <w:rsid w:val="00BE7B86"/>
    <w:rsid w:val="00BF09A7"/>
    <w:rsid w:val="00D12F9A"/>
    <w:rsid w:val="00DC5CEE"/>
    <w:rsid w:val="00DC5DDA"/>
    <w:rsid w:val="00DC655E"/>
    <w:rsid w:val="00E3182C"/>
    <w:rsid w:val="00E6378E"/>
    <w:rsid w:val="00E77D03"/>
    <w:rsid w:val="00E957C3"/>
    <w:rsid w:val="00ED0AD2"/>
    <w:rsid w:val="00EF1E95"/>
    <w:rsid w:val="00F14D08"/>
    <w:rsid w:val="00F15B8A"/>
    <w:rsid w:val="00FB2E0E"/>
    <w:rsid w:val="00FD0351"/>
    <w:rsid w:val="00FE3AEC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3A48"/>
  <w15:chartTrackingRefBased/>
  <w15:docId w15:val="{C45B38E5-3F23-44BA-A6F1-049EF5ED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8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8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8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8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8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8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8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8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8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8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3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8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3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8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3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8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3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8F1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rsid w:val="003D38F1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318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64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FA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FA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d1d679-7a9d-467b-8ded-9fddbe88f77b}" enabled="0" method="" siteId="{7ad1d679-7a9d-467b-8ded-9fddbe88f7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Radovanovic</dc:creator>
  <cp:keywords/>
  <dc:description/>
  <cp:lastModifiedBy>Mirjana Radovanovic</cp:lastModifiedBy>
  <cp:revision>39</cp:revision>
  <dcterms:created xsi:type="dcterms:W3CDTF">2025-08-26T23:58:00Z</dcterms:created>
  <dcterms:modified xsi:type="dcterms:W3CDTF">2025-08-27T05:54:00Z</dcterms:modified>
</cp:coreProperties>
</file>