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89D7" w14:textId="77777777" w:rsidR="00DD1E05" w:rsidRPr="00DD1E05" w:rsidRDefault="00DD1E05" w:rsidP="00DD1E05">
      <w:pPr>
        <w:spacing w:after="0" w:line="240" w:lineRule="auto"/>
        <w:jc w:val="both"/>
        <w:rPr>
          <w:rFonts w:ascii="Arial" w:eastAsia="Calibri" w:hAnsi="Arial" w:cs="Calibri"/>
          <w:b/>
          <w:bCs/>
          <w:kern w:val="0"/>
          <w:lang w:val="en-GB"/>
          <w14:ligatures w14:val="none"/>
        </w:rPr>
      </w:pPr>
      <w:bookmarkStart w:id="0" w:name="_Hlk203912655"/>
      <w:bookmarkEnd w:id="0"/>
      <w:proofErr w:type="spellStart"/>
      <w:r w:rsidRPr="00DD1E05">
        <w:rPr>
          <w:rFonts w:ascii="Arial" w:eastAsia="Calibri" w:hAnsi="Arial" w:cs="Calibri"/>
          <w:b/>
          <w:bCs/>
          <w:kern w:val="0"/>
          <w:lang w:val="en-GB"/>
          <w14:ligatures w14:val="none"/>
        </w:rPr>
        <w:t>Cocrystallisation</w:t>
      </w:r>
      <w:proofErr w:type="spellEnd"/>
      <w:r w:rsidRPr="00DD1E05">
        <w:rPr>
          <w:rFonts w:ascii="Arial" w:eastAsia="Calibri" w:hAnsi="Arial" w:cs="Calibri"/>
          <w:b/>
          <w:bCs/>
          <w:kern w:val="0"/>
          <w:lang w:val="en-GB"/>
          <w14:ligatures w14:val="none"/>
        </w:rPr>
        <w:t xml:space="preserve"> as an Odour-masking Strategy in the Development of Palatable Medicines </w:t>
      </w:r>
    </w:p>
    <w:p w14:paraId="79141BD9" w14:textId="27888C4A" w:rsidR="00C315D2" w:rsidRPr="00DD1E05" w:rsidRDefault="00DD1E05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</w:pPr>
      <w:r w:rsidRPr="00DD1E05">
        <w:rPr>
          <w:rFonts w:ascii="Arial" w:eastAsia="Calibri" w:hAnsi="Arial" w:cs="Calibri"/>
          <w:b/>
          <w:kern w:val="0"/>
          <w:sz w:val="20"/>
          <w:szCs w:val="20"/>
          <w:u w:val="single"/>
          <w:lang w:val="en-GB"/>
          <w14:ligatures w14:val="none"/>
        </w:rPr>
        <w:t>Diba Keyhanfar</w:t>
      </w:r>
      <w:r w:rsidR="00C315D2" w:rsidRPr="00DD1E05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:lang w:val="en-GB"/>
          <w14:ligatures w14:val="none"/>
        </w:rPr>
        <w:t>1</w:t>
      </w:r>
      <w:r w:rsidRPr="00DD1E05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:lang w:val="en-GB"/>
          <w14:ligatures w14:val="none"/>
        </w:rPr>
        <w:t>,2</w:t>
      </w:r>
      <w:r w:rsidR="00C315D2" w:rsidRPr="00DD1E0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 xml:space="preserve">, </w:t>
      </w:r>
      <w:r w:rsidRPr="00DD1E0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>Dejan-Krešimir Bučar</w:t>
      </w:r>
      <w:r w:rsidRPr="00DD1E05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en-GB"/>
          <w14:ligatures w14:val="none"/>
        </w:rPr>
        <w:t>2</w:t>
      </w:r>
      <w:r w:rsidRPr="00DD1E0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>; Catherine Tuleu</w:t>
      </w:r>
      <w:r w:rsidRPr="00DD1E05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en-GB"/>
          <w14:ligatures w14:val="none"/>
        </w:rPr>
        <w:t>1</w:t>
      </w:r>
    </w:p>
    <w:p w14:paraId="195748DE" w14:textId="04511B18" w:rsidR="00DD1E05" w:rsidRPr="00DD1E05" w:rsidRDefault="00DD1E05" w:rsidP="00DD1E05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</w:pPr>
      <w:r w:rsidRPr="00DD1E05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en-GB"/>
          <w14:ligatures w14:val="none"/>
        </w:rPr>
        <w:t xml:space="preserve">1 </w:t>
      </w:r>
      <w:r w:rsidRPr="00DD1E0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>UCL School of Pharmacy</w:t>
      </w:r>
      <w:proofErr w:type="gramStart"/>
      <w:r w:rsidRPr="00DD1E0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>, ,</w:t>
      </w:r>
      <w:proofErr w:type="gramEnd"/>
      <w:r w:rsidRPr="00DD1E0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 xml:space="preserve"> London</w:t>
      </w:r>
      <w:r w:rsidR="00E314E1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>, UK</w:t>
      </w:r>
    </w:p>
    <w:p w14:paraId="42833AF3" w14:textId="01F3165D" w:rsidR="00DD1E05" w:rsidRPr="00DD1E05" w:rsidRDefault="00DD1E05" w:rsidP="00DD1E05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</w:pPr>
      <w:r w:rsidRPr="00DD1E05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en-GB"/>
          <w14:ligatures w14:val="none"/>
        </w:rPr>
        <w:t xml:space="preserve">2 </w:t>
      </w:r>
      <w:r w:rsidRPr="00DD1E0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>UCL Department of Chemistry, London</w:t>
      </w:r>
      <w:r w:rsidR="00E314E1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>, UK</w:t>
      </w:r>
    </w:p>
    <w:p w14:paraId="2DD37039" w14:textId="5AF6A0CA" w:rsidR="00C315D2" w:rsidRPr="00A378E5" w:rsidRDefault="00C315D2" w:rsidP="002D34AE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</w:pPr>
      <w:r w:rsidRPr="00A378E5">
        <w:rPr>
          <w:rFonts w:ascii="Arial" w:eastAsia="Calibri" w:hAnsi="Arial" w:cs="Calibri"/>
          <w:bCs/>
          <w:i/>
          <w:kern w:val="0"/>
          <w:sz w:val="20"/>
          <w:szCs w:val="20"/>
          <w:lang w:val="en-GB"/>
          <w14:ligatures w14:val="none"/>
        </w:rPr>
        <w:t xml:space="preserve"> </w:t>
      </w:r>
    </w:p>
    <w:p w14:paraId="27ED9E73" w14:textId="72486518" w:rsidR="00DC0B48" w:rsidRPr="00A378E5" w:rsidRDefault="00B8473A" w:rsidP="002D34AE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</w:pPr>
      <w:r w:rsidRPr="00A378E5">
        <w:rPr>
          <w:rFonts w:ascii="Arial" w:eastAsia="Calibri" w:hAnsi="Arial" w:cs="Calibri"/>
          <w:b/>
          <w:kern w:val="0"/>
          <w:sz w:val="20"/>
          <w:szCs w:val="20"/>
          <w:lang w:val="en-GB"/>
          <w14:ligatures w14:val="none"/>
        </w:rPr>
        <w:t>Background and aims</w:t>
      </w:r>
      <w:r w:rsidR="00C315D2" w:rsidRPr="00A378E5">
        <w:rPr>
          <w:rFonts w:ascii="Arial" w:eastAsia="Calibri" w:hAnsi="Arial" w:cs="Calibri"/>
          <w:b/>
          <w:kern w:val="0"/>
          <w:sz w:val="20"/>
          <w:szCs w:val="20"/>
          <w:lang w:val="en-GB"/>
          <w14:ligatures w14:val="none"/>
        </w:rPr>
        <w:t>.</w:t>
      </w:r>
      <w:r w:rsidR="00C315D2" w:rsidRPr="00A378E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 xml:space="preserve"> </w:t>
      </w:r>
      <w:r w:rsidR="00DC0B48" w:rsidRPr="00A378E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>Palatability</w:t>
      </w:r>
      <w:r w:rsidR="003E0269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 xml:space="preserve">, </w:t>
      </w:r>
      <w:r w:rsidR="00DC0B48" w:rsidRPr="00A378E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>including taste, texture, and smell</w:t>
      </w:r>
      <w:r w:rsidR="003E0269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 xml:space="preserve">, </w:t>
      </w:r>
      <w:r w:rsidR="00DC0B48" w:rsidRPr="00A378E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>is essential for patient compliance with oral medications.</w:t>
      </w:r>
      <w:r w:rsidR="002F498F" w:rsidRPr="00A378E5">
        <w:rPr>
          <w:rFonts w:asciiTheme="minorBidi" w:hAnsiTheme="minorBidi"/>
          <w:sz w:val="20"/>
          <w:szCs w:val="20"/>
          <w:lang w:val="en-GB"/>
        </w:rPr>
        <w:fldChar w:fldCharType="begin"/>
      </w:r>
      <w:r w:rsidR="002F498F" w:rsidRPr="00A378E5">
        <w:rPr>
          <w:rFonts w:asciiTheme="minorBidi" w:hAnsiTheme="minorBidi"/>
          <w:sz w:val="20"/>
          <w:szCs w:val="20"/>
          <w:lang w:val="en-GB"/>
        </w:rPr>
        <w:instrText xml:space="preserve"> ADDIN EN.CITE &lt;EndNote&gt;&lt;Cite&gt;&lt;Author&gt;Andrews&lt;/Author&gt;&lt;Year&gt;2021&lt;/Year&gt;&lt;RecNum&gt;16&lt;/RecNum&gt;&lt;DisplayText&gt;&lt;style face="superscript"&gt;1&lt;/style&gt;&lt;/DisplayText&gt;&lt;record&gt;&lt;rec-number&gt;16&lt;/rec-number&gt;&lt;foreign-keys&gt;&lt;key app="EN" db-id="5xsvrzf0jt9vwleed27x59x7rw0rx0w0ddfe" timestamp="1690369344" guid="64dbb65b-0ebb-4bfa-993d-2ad7fdf38a94"&gt;16&lt;/key&gt;&lt;/foreign-keys&gt;&lt;ref-type name="Journal Article"&gt;17&lt;/ref-type&gt;&lt;contributors&gt;&lt;authors&gt;&lt;author&gt;Andrews, Danielle&lt;/author&gt;&lt;author&gt;Salunke, Smita&lt;/author&gt;&lt;author&gt;Cram, Anne&lt;/author&gt;&lt;author&gt;Bennett, Joanne&lt;/author&gt;&lt;author&gt;Ives, Robert S.&lt;/author&gt;&lt;author&gt;Basit, Abdul W.&lt;/author&gt;&lt;author&gt;Tuleu, Catherine&lt;/author&gt;&lt;/authors&gt;&lt;/contributors&gt;&lt;titles&gt;&lt;title&gt;Bitter-blockers as a taste masking strategy: A systematic review towards their utility in pharmaceuticals&lt;/title&gt;&lt;secondary-title&gt;European Journal of Pharmaceutics and Biopharmaceutics&lt;/secondary-title&gt;&lt;/titles&gt;&lt;periodical&gt;&lt;full-title&gt;European Journal of Pharmaceutics and Biopharmaceutics&lt;/full-title&gt;&lt;/periodical&gt;&lt;pages&gt;35-51&lt;/pages&gt;&lt;volume&gt;158&lt;/volume&gt;&lt;keywords&gt;&lt;keyword&gt;Bitter-blocker&lt;/keyword&gt;&lt;keyword&gt;Taste-modifier&lt;/keyword&gt;&lt;keyword&gt;Excipient&lt;/keyword&gt;&lt;keyword&gt;Palatability&lt;/keyword&gt;&lt;/keywords&gt;&lt;dates&gt;&lt;year&gt;2021&lt;/year&gt;&lt;pub-dates&gt;&lt;date&gt;2021/01/01/&lt;/date&gt;&lt;/pub-dates&gt;&lt;/dates&gt;&lt;isbn&gt;0939-6411&lt;/isbn&gt;&lt;urls&gt;&lt;related-urls&gt;&lt;url&gt;https://www.sciencedirect.com/science/article/pii/S0939641120303179&lt;/url&gt;&lt;/related-urls&gt;&lt;/urls&gt;&lt;electronic-resource-num&gt;https://doi.org/10.1016/j.ejpb.2020.10.017&lt;/electronic-resource-num&gt;&lt;/record&gt;&lt;/Cite&gt;&lt;/EndNote&gt;</w:instrText>
      </w:r>
      <w:r w:rsidR="002F498F" w:rsidRPr="00A378E5">
        <w:rPr>
          <w:rFonts w:asciiTheme="minorBidi" w:hAnsiTheme="minorBidi"/>
          <w:sz w:val="20"/>
          <w:szCs w:val="20"/>
          <w:lang w:val="en-GB"/>
        </w:rPr>
        <w:fldChar w:fldCharType="separate"/>
      </w:r>
      <w:r w:rsidR="002F498F" w:rsidRPr="00A378E5">
        <w:rPr>
          <w:rFonts w:asciiTheme="minorBidi" w:hAnsiTheme="minorBidi"/>
          <w:noProof/>
          <w:sz w:val="20"/>
          <w:szCs w:val="20"/>
          <w:vertAlign w:val="superscript"/>
          <w:lang w:val="en-GB"/>
        </w:rPr>
        <w:t>1</w:t>
      </w:r>
      <w:r w:rsidR="002F498F" w:rsidRPr="00A378E5">
        <w:rPr>
          <w:rFonts w:asciiTheme="minorBidi" w:hAnsiTheme="minorBidi"/>
          <w:sz w:val="20"/>
          <w:szCs w:val="20"/>
          <w:lang w:val="en-GB"/>
        </w:rPr>
        <w:fldChar w:fldCharType="end"/>
      </w:r>
      <w:r w:rsidR="002F498F" w:rsidRPr="00A378E5">
        <w:rPr>
          <w:rFonts w:asciiTheme="minorBidi" w:hAnsiTheme="minorBidi"/>
          <w:sz w:val="20"/>
          <w:szCs w:val="20"/>
          <w:lang w:val="en-GB"/>
        </w:rPr>
        <w:t xml:space="preserve"> </w:t>
      </w:r>
      <w:r w:rsidR="00DC0B48" w:rsidRPr="00A378E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>While taste-masking strategies are well established, little work has explored methods to mask unpleasant pharmaceutical odours.</w:t>
      </w:r>
      <w:r w:rsidR="002F498F" w:rsidRPr="00A378E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 xml:space="preserve"> </w:t>
      </w:r>
      <w:r w:rsidR="00DC0B48" w:rsidRPr="00A378E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>Crystal engineering offers a promising approach to modifying solid-state properties of active pharmaceutical ingredients (APIs), including palatability.</w:t>
      </w:r>
      <w:r w:rsidR="002F498F" w:rsidRPr="00A378E5">
        <w:rPr>
          <w:rFonts w:asciiTheme="minorBidi" w:hAnsiTheme="minorBidi"/>
          <w:sz w:val="20"/>
          <w:szCs w:val="20"/>
          <w:lang w:val="en-GB"/>
        </w:rPr>
        <w:fldChar w:fldCharType="begin"/>
      </w:r>
      <w:r w:rsidR="002F498F" w:rsidRPr="00A378E5">
        <w:rPr>
          <w:rFonts w:asciiTheme="minorBidi" w:hAnsiTheme="minorBidi"/>
          <w:sz w:val="20"/>
          <w:szCs w:val="20"/>
          <w:lang w:val="en-GB"/>
        </w:rPr>
        <w:instrText xml:space="preserve"> ADDIN EN.CITE &lt;EndNote&gt;&lt;Cite&gt;&lt;Author&gt;Aakeröy&lt;/Author&gt;&lt;Year&gt;2018&lt;/Year&gt;&lt;RecNum&gt;59&lt;/RecNum&gt;&lt;DisplayText&gt;&lt;style face="superscript"&gt;2&lt;/style&gt;&lt;/DisplayText&gt;&lt;record&gt;&lt;rec-number&gt;59&lt;/rec-number&gt;&lt;foreign-keys&gt;&lt;key app="EN" db-id="pfzafafz4dzzaoexevj5dtstwssswdttav2d" timestamp="1650274817" guid="9c9e9531-e4c3-4208-92bc-4a2a60867963"&gt;59&lt;/key&gt;&lt;/foreign-keys&gt;&lt;ref-type name="Journal Article"&gt;17&lt;/ref-type&gt;&lt;contributors&gt;&lt;authors&gt;&lt;author&gt;Christer B. Aakeröy&lt;/author&gt;&lt;author&gt;Abhijeet S. Sinha&lt;/author&gt;&lt;/authors&gt;&lt;/contributors&gt;&lt;titles&gt;&lt;title&gt;Chapter 1 Co-crystals: Introduction and Scope&lt;/title&gt;&lt;/titles&gt;&lt;dates&gt;&lt;year&gt;2018&lt;/year&gt;&lt;pub-dates&gt;&lt;date&gt;2018/07/13&lt;/date&gt;&lt;/pub-dates&gt;&lt;/dates&gt;&lt;publisher&gt;Royal Society of Chemistry&lt;/publisher&gt;&lt;urls&gt;&lt;related-urls&gt;&lt;url&gt;https://pubs.rsc.org/en/content/chapterhtml/2018/bk9781788011150-00001?isbn=978-1-78801-115-0&lt;/url&gt;&lt;/related-urls&gt;&lt;/urls&gt;&lt;electronic-resource-num&gt;10.1039/9781788012874-00001&lt;/electronic-resource-num&gt;&lt;language&gt;en&lt;/language&gt;&lt;/record&gt;&lt;/Cite&gt;&lt;Cite&gt;&lt;Author&gt;Aakeröy&lt;/Author&gt;&lt;Year&gt;2018&lt;/Year&gt;&lt;RecNum&gt;59&lt;/RecNum&gt;&lt;record&gt;&lt;rec-number&gt;59&lt;/rec-number&gt;&lt;foreign-keys&gt;&lt;key app="EN" db-id="pfzafafz4dzzaoexevj5dtstwssswdttav2d" timestamp="1650274817" guid="9c9e9531-e4c3-4208-92bc-4a2a60867963"&gt;59&lt;/key&gt;&lt;/foreign-keys&gt;&lt;ref-type name="Journal Article"&gt;17&lt;/ref-type&gt;&lt;contributors&gt;&lt;authors&gt;&lt;author&gt;Christer B. Aakeröy&lt;/author&gt;&lt;author&gt;Abhijeet S. Sinha&lt;/author&gt;&lt;/authors&gt;&lt;/contributors&gt;&lt;titles&gt;&lt;title&gt;Chapter 1 Co-crystals: Introduction and Scope&lt;/title&gt;&lt;/titles&gt;&lt;dates&gt;&lt;year&gt;2018&lt;/year&gt;&lt;pub-dates&gt;&lt;date&gt;2018/07/13&lt;/date&gt;&lt;/pub-dates&gt;&lt;/dates&gt;&lt;publisher&gt;Royal Society of Chemistry&lt;/publisher&gt;&lt;urls&gt;&lt;related-urls&gt;&lt;url&gt;https://pubs.rsc.org/en/content/chapterhtml/2018/bk9781788011150-00001?isbn=978-1-78801-115-0&lt;/url&gt;&lt;/related-urls&gt;&lt;/urls&gt;&lt;electronic-resource-num&gt;10.1039/9781788012874-00001&lt;/electronic-resource-num&gt;&lt;language&gt;en&lt;/language&gt;&lt;/record&gt;&lt;/Cite&gt;&lt;/EndNote&gt;</w:instrText>
      </w:r>
      <w:r w:rsidR="002F498F" w:rsidRPr="00A378E5">
        <w:rPr>
          <w:rFonts w:asciiTheme="minorBidi" w:hAnsiTheme="minorBidi"/>
          <w:sz w:val="20"/>
          <w:szCs w:val="20"/>
          <w:lang w:val="en-GB"/>
        </w:rPr>
        <w:fldChar w:fldCharType="separate"/>
      </w:r>
      <w:r w:rsidR="002F498F" w:rsidRPr="00A378E5">
        <w:rPr>
          <w:rFonts w:asciiTheme="minorBidi" w:hAnsiTheme="minorBidi"/>
          <w:noProof/>
          <w:sz w:val="20"/>
          <w:szCs w:val="20"/>
          <w:vertAlign w:val="superscript"/>
          <w:lang w:val="en-GB"/>
        </w:rPr>
        <w:t>2</w:t>
      </w:r>
      <w:r w:rsidR="002F498F" w:rsidRPr="00A378E5">
        <w:rPr>
          <w:rFonts w:asciiTheme="minorBidi" w:hAnsiTheme="minorBidi"/>
          <w:sz w:val="20"/>
          <w:szCs w:val="20"/>
          <w:lang w:val="en-GB"/>
        </w:rPr>
        <w:fldChar w:fldCharType="end"/>
      </w:r>
      <w:r w:rsidR="00DC0B48" w:rsidRPr="00A378E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="00DC0B48" w:rsidRPr="00A378E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>Cocrystallisation</w:t>
      </w:r>
      <w:proofErr w:type="spellEnd"/>
      <w:r w:rsidR="00DC0B48" w:rsidRPr="00A378E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>, the formation of multi-component crystalline solids, is one such method.</w:t>
      </w:r>
      <w:r w:rsidR="002F498F" w:rsidRPr="00A378E5">
        <w:rPr>
          <w:rFonts w:asciiTheme="minorBidi" w:hAnsiTheme="minorBidi"/>
          <w:sz w:val="20"/>
          <w:szCs w:val="20"/>
          <w:lang w:val="en-GB"/>
        </w:rPr>
        <w:fldChar w:fldCharType="begin"/>
      </w:r>
      <w:r w:rsidR="002F498F" w:rsidRPr="00A378E5">
        <w:rPr>
          <w:rFonts w:asciiTheme="minorBidi" w:hAnsiTheme="minorBidi"/>
          <w:sz w:val="20"/>
          <w:szCs w:val="20"/>
          <w:lang w:val="en-GB"/>
        </w:rPr>
        <w:instrText xml:space="preserve"> ADDIN EN.CITE &lt;EndNote&gt;&lt;Cite&gt;&lt;Author&gt;Schultheiss&lt;/Author&gt;&lt;Year&gt;2009&lt;/Year&gt;&lt;RecNum&gt;60&lt;/RecNum&gt;&lt;DisplayText&gt;&lt;style face="superscript"&gt;3&lt;/style&gt;&lt;/DisplayText&gt;&lt;record&gt;&lt;rec-number&gt;60&lt;/rec-number&gt;&lt;foreign-keys&gt;&lt;key app="EN" db-id="pfzafafz4dzzaoexevj5dtstwssswdttav2d" timestamp="1650274817" guid="f58d4820-9f67-4f83-89b8-4b23b52dbd06"&gt;60&lt;/key&gt;&lt;/foreign-keys&gt;&lt;ref-type name="Journal Article"&gt;17&lt;/ref-type&gt;&lt;contributors&gt;&lt;authors&gt;&lt;author&gt;Nate  Schultheiss&lt;/author&gt;&lt;author&gt;Ann  Newman&lt;/author&gt;&lt;/authors&gt;&lt;/contributors&gt;&lt;titles&gt;&lt;title&gt;Pharmaceutical Cocrystals and Their Physicochemical Properties&lt;/title&gt;&lt;/titles&gt;&lt;keywords&gt;&lt;keyword&gt;world&lt;/keyword&gt;&lt;/keywords&gt;&lt;dates&gt;&lt;year&gt;2009&lt;/year&gt;&lt;pub-dates&gt;&lt;date&gt;April 20, 2009&lt;/date&gt;&lt;/pub-dates&gt;&lt;/dates&gt;&lt;publisher&gt;American Chemical Society&lt;/publisher&gt;&lt;work-type&gt;review-article&lt;/work-type&gt;&lt;urls&gt;&lt;related-urls&gt;&lt;url&gt;https://pubs.acs.org/doi/abs/10.1021/cg900129f&lt;/url&gt;&lt;/related-urls&gt;&lt;/urls&gt;&lt;electronic-resource-num&gt;10.1021/cg900129f&lt;/electronic-resource-num&gt;&lt;language&gt;EN&lt;/language&gt;&lt;/record&gt;&lt;/Cite&gt;&lt;/EndNote&gt;</w:instrText>
      </w:r>
      <w:r w:rsidR="002F498F" w:rsidRPr="00A378E5">
        <w:rPr>
          <w:rFonts w:asciiTheme="minorBidi" w:hAnsiTheme="minorBidi"/>
          <w:sz w:val="20"/>
          <w:szCs w:val="20"/>
          <w:lang w:val="en-GB"/>
        </w:rPr>
        <w:fldChar w:fldCharType="separate"/>
      </w:r>
      <w:r w:rsidR="002F498F" w:rsidRPr="00A378E5">
        <w:rPr>
          <w:rFonts w:asciiTheme="minorBidi" w:hAnsiTheme="minorBidi"/>
          <w:noProof/>
          <w:sz w:val="20"/>
          <w:szCs w:val="20"/>
          <w:vertAlign w:val="superscript"/>
          <w:lang w:val="en-GB"/>
        </w:rPr>
        <w:t>3</w:t>
      </w:r>
      <w:r w:rsidR="002F498F" w:rsidRPr="00A378E5">
        <w:rPr>
          <w:rFonts w:asciiTheme="minorBidi" w:hAnsiTheme="minorBidi"/>
          <w:sz w:val="20"/>
          <w:szCs w:val="20"/>
          <w:lang w:val="en-GB"/>
        </w:rPr>
        <w:fldChar w:fldCharType="end"/>
      </w:r>
      <w:r w:rsidR="00DC0B48" w:rsidRPr="00A378E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 xml:space="preserve"> When an API is combined with a pharmaceutically acceptable </w:t>
      </w:r>
      <w:proofErr w:type="spellStart"/>
      <w:r w:rsidR="00DC0B48" w:rsidRPr="00A378E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>coformer</w:t>
      </w:r>
      <w:proofErr w:type="spellEnd"/>
      <w:r w:rsidR="00DC0B48" w:rsidRPr="00A378E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>, the resulting pharmaceutical cocrystal can exhibit altered physical properties.</w:t>
      </w:r>
    </w:p>
    <w:p w14:paraId="3756BFA8" w14:textId="57A1D4B2" w:rsidR="002F498F" w:rsidRPr="00A378E5" w:rsidRDefault="00DC0B48" w:rsidP="002D34AE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</w:pPr>
      <w:r w:rsidRPr="00A378E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 xml:space="preserve">This study investigates the potential of </w:t>
      </w:r>
      <w:proofErr w:type="spellStart"/>
      <w:r w:rsidRPr="00A378E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>cocrystallisation</w:t>
      </w:r>
      <w:proofErr w:type="spellEnd"/>
      <w:r w:rsidRPr="00A378E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 xml:space="preserve"> as an odour-masking strategy, a relatively unexplored area. Vitamin B compounds</w:t>
      </w:r>
      <w:r w:rsidR="00587AE2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 xml:space="preserve">, </w:t>
      </w:r>
      <w:r w:rsidRPr="00A378E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>commonly associated with unpleasant smells due to sulphur-containing groups</w:t>
      </w:r>
      <w:r w:rsidR="00587AE2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 xml:space="preserve">, </w:t>
      </w:r>
      <w:r w:rsidRPr="00A378E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>were selected as model APIs. Their structural diversity and hydrogen-bonding functionality make them suitable candidates for crystal engineering.</w:t>
      </w:r>
      <w:r w:rsidR="00927646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 xml:space="preserve"> The</w:t>
      </w:r>
      <w:r w:rsidRPr="00A378E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 xml:space="preserve"> focus </w:t>
      </w:r>
      <w:r w:rsidR="00927646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 xml:space="preserve">was placed </w:t>
      </w:r>
      <w:r w:rsidRPr="00A378E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>on three compounds: thiamine (</w:t>
      </w:r>
      <w:proofErr w:type="spellStart"/>
      <w:r w:rsidRPr="00A378E5">
        <w:rPr>
          <w:rFonts w:ascii="Arial" w:eastAsia="Calibri" w:hAnsi="Arial" w:cs="Calibri"/>
          <w:b/>
          <w:kern w:val="0"/>
          <w:sz w:val="20"/>
          <w:szCs w:val="20"/>
          <w:lang w:val="en-GB"/>
          <w14:ligatures w14:val="none"/>
        </w:rPr>
        <w:t>thi</w:t>
      </w:r>
      <w:proofErr w:type="spellEnd"/>
      <w:r w:rsidRPr="00A378E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>), nicotinic acid (</w:t>
      </w:r>
      <w:proofErr w:type="spellStart"/>
      <w:r w:rsidRPr="00A378E5">
        <w:rPr>
          <w:rFonts w:ascii="Arial" w:eastAsia="Calibri" w:hAnsi="Arial" w:cs="Calibri"/>
          <w:b/>
          <w:kern w:val="0"/>
          <w:sz w:val="20"/>
          <w:szCs w:val="20"/>
          <w:lang w:val="en-GB"/>
          <w14:ligatures w14:val="none"/>
        </w:rPr>
        <w:t>na</w:t>
      </w:r>
      <w:proofErr w:type="spellEnd"/>
      <w:r w:rsidRPr="00A378E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>), and pyridoxine (</w:t>
      </w:r>
      <w:proofErr w:type="spellStart"/>
      <w:r w:rsidRPr="00A378E5">
        <w:rPr>
          <w:rFonts w:ascii="Arial" w:eastAsia="Calibri" w:hAnsi="Arial" w:cs="Calibri"/>
          <w:b/>
          <w:kern w:val="0"/>
          <w:sz w:val="20"/>
          <w:szCs w:val="20"/>
          <w:lang w:val="en-GB"/>
          <w14:ligatures w14:val="none"/>
        </w:rPr>
        <w:t>py</w:t>
      </w:r>
      <w:proofErr w:type="spellEnd"/>
      <w:r w:rsidRPr="00A378E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>).</w:t>
      </w:r>
    </w:p>
    <w:p w14:paraId="1B6348CD" w14:textId="77777777" w:rsidR="002F498F" w:rsidRPr="00A378E5" w:rsidRDefault="002F498F" w:rsidP="002D34AE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</w:pPr>
    </w:p>
    <w:p w14:paraId="48C0479A" w14:textId="1D3CD515" w:rsidR="00C315D2" w:rsidRPr="00A378E5" w:rsidRDefault="00C315D2" w:rsidP="00B81D35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</w:pPr>
      <w:r w:rsidRPr="00A378E5">
        <w:rPr>
          <w:rFonts w:ascii="Arial" w:eastAsia="Calibri" w:hAnsi="Arial" w:cs="Calibri"/>
          <w:b/>
          <w:kern w:val="0"/>
          <w:sz w:val="20"/>
          <w:szCs w:val="20"/>
          <w:lang w:val="en-GB"/>
          <w14:ligatures w14:val="none"/>
        </w:rPr>
        <w:t>Methods.</w:t>
      </w:r>
      <w:r w:rsidRPr="00A378E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 xml:space="preserve"> </w:t>
      </w:r>
      <w:r w:rsidR="00B81D35" w:rsidRPr="00B81D3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Cocrystal screens were accomplished through crystallisation methods that are known for their efficiency, namely neat grinding, liquid-assisted grinding and solution-mediated phase transformation. Solids made were analysed using powder X-ray diffraction and discovered cocrystals were then structurally characterised using single crystal X-ray </w:t>
      </w:r>
      <w:r w:rsidR="00CE7DB5" w:rsidRPr="00B81D3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diffraction</w:t>
      </w:r>
      <w:r w:rsidR="00DD1E05" w:rsidRPr="00A378E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>.</w:t>
      </w:r>
    </w:p>
    <w:p w14:paraId="1387B9C3" w14:textId="77777777" w:rsidR="00C315D2" w:rsidRPr="00A378E5" w:rsidRDefault="00C315D2" w:rsidP="002D34AE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sz w:val="20"/>
          <w:szCs w:val="20"/>
          <w:lang w:val="en-GB"/>
          <w14:ligatures w14:val="none"/>
        </w:rPr>
      </w:pPr>
    </w:p>
    <w:p w14:paraId="44C304BA" w14:textId="4A113382" w:rsidR="00FC734D" w:rsidRPr="002D34AE" w:rsidRDefault="00795378" w:rsidP="002D34AE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val="en-GB"/>
          <w14:ligatures w14:val="none"/>
        </w:rPr>
      </w:pPr>
      <w:r w:rsidRPr="00A378E5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>Results.</w:t>
      </w:r>
      <w:r w:rsidR="00C315D2" w:rsidRPr="00A378E5">
        <w:rPr>
          <w:rFonts w:ascii="Calibri" w:eastAsia="Calibri" w:hAnsi="Calibri" w:cs="Times New Roman"/>
          <w:kern w:val="0"/>
          <w:sz w:val="20"/>
          <w:szCs w:val="20"/>
          <w:lang w:val="en-GB"/>
          <w14:ligatures w14:val="none"/>
        </w:rPr>
        <w:t xml:space="preserve"> </w:t>
      </w:r>
      <w:r w:rsidR="00DD1E05" w:rsidRPr="00A378E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Two different smell masking strategies have been undertaken. The first approach was to use aroma chemicals as </w:t>
      </w:r>
      <w:proofErr w:type="spellStart"/>
      <w:r w:rsidR="00DD1E05" w:rsidRPr="00A378E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coformers</w:t>
      </w:r>
      <w:proofErr w:type="spellEnd"/>
      <w:r w:rsidR="00DD1E05" w:rsidRPr="00A378E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with the aim of introducing a </w:t>
      </w:r>
      <w:proofErr w:type="gramStart"/>
      <w:r w:rsidR="00DD1E05" w:rsidRPr="00A378E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pleasant-smelling compounds</w:t>
      </w:r>
      <w:proofErr w:type="gramEnd"/>
      <w:r w:rsidR="00DD1E05" w:rsidRPr="00A378E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into the crystal structure. The second strategy involved the use of hydrogen bonding </w:t>
      </w:r>
      <w:proofErr w:type="spellStart"/>
      <w:r w:rsidR="00DD1E05" w:rsidRPr="00A378E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coformers</w:t>
      </w:r>
      <w:proofErr w:type="spellEnd"/>
      <w:r w:rsidR="00DD1E05" w:rsidRPr="00A378E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to involve the API in strongly hydrogen bonded networks, thereby reducing the vapour pressure of the API in the new crystal form. Overall, </w:t>
      </w:r>
      <w:r w:rsidR="00672F0C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eight new</w:t>
      </w:r>
      <w:r w:rsidR="00DD1E05" w:rsidRPr="00A378E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</w:t>
      </w:r>
      <w:r w:rsidR="00672F0C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c</w:t>
      </w:r>
      <w:r w:rsidR="00DD1E05" w:rsidRPr="00A378E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rystal</w:t>
      </w:r>
      <w:r w:rsidR="00672F0C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forms</w:t>
      </w:r>
      <w:r w:rsidR="00DD1E05" w:rsidRPr="00A378E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have been obtained and crystals suitable for single crystal X-ray diffraction analyses were grown and their structures were determined using this technique. </w:t>
      </w:r>
      <w:r w:rsidR="00DD1E05" w:rsidRPr="00A378E5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>Figure 1</w:t>
      </w:r>
      <w:r w:rsidR="00DD1E05" w:rsidRPr="00A378E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shows examples of these structures</w:t>
      </w:r>
    </w:p>
    <w:p w14:paraId="7339508A" w14:textId="36F4C5A4" w:rsidR="00FC734D" w:rsidRPr="00FC734D" w:rsidRDefault="00FC734D" w:rsidP="00FC734D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</w:pPr>
      <w:r w:rsidRPr="001917E8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1C4B7" wp14:editId="5B554E1F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264160" cy="278765"/>
                <wp:effectExtent l="0" t="0" r="2540" b="69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8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D45F3" w14:textId="77777777" w:rsidR="00FC734D" w:rsidRPr="003C5CC7" w:rsidRDefault="00FC734D" w:rsidP="00FC73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C5CC7"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1C4B7" id="Rectangle 3" o:spid="_x0000_s1026" style="position:absolute;left:0;text-align:left;margin-left:0;margin-top:7pt;width:20.8pt;height:21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" fillcolor="white [3201]" stroked="f" strokeweight="1pt">
                <v:textbox>
                  <w:txbxContent>
                    <w:p w14:paraId="460D45F3" w14:textId="77777777" w:rsidR="00FC734D" w:rsidRPr="003C5CC7" w:rsidRDefault="00FC734D" w:rsidP="00FC734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C5CC7">
                        <w:rPr>
                          <w:b/>
                          <w:bCs/>
                        </w:rPr>
                        <w:t>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D2D5A8" w14:textId="331EB1AA" w:rsidR="00FC734D" w:rsidRPr="00DD1E05" w:rsidRDefault="002D34AE" w:rsidP="002D34AE">
      <w:pPr>
        <w:jc w:val="both"/>
        <w:rPr>
          <w:rFonts w:asciiTheme="minorBidi" w:hAnsiTheme="minorBidi"/>
          <w:noProof/>
          <w:lang w:val="en-GB"/>
        </w:rPr>
      </w:pPr>
      <w:r w:rsidRPr="001917E8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2FC5DD" wp14:editId="32D5619A">
                <wp:simplePos x="0" y="0"/>
                <wp:positionH relativeFrom="column">
                  <wp:posOffset>4019550</wp:posOffset>
                </wp:positionH>
                <wp:positionV relativeFrom="paragraph">
                  <wp:posOffset>47625</wp:posOffset>
                </wp:positionV>
                <wp:extent cx="264160" cy="278765"/>
                <wp:effectExtent l="0" t="0" r="2540" b="6985"/>
                <wp:wrapNone/>
                <wp:docPr id="389023739" name="Rectangle 389023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8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D268A" w14:textId="77777777" w:rsidR="00FC734D" w:rsidRPr="003C5CC7" w:rsidRDefault="00FC734D" w:rsidP="00FC73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FC5DD" id="Rectangle 389023739" o:spid="_x0000_s1027" style="position:absolute;left:0;text-align:left;margin-left:316.5pt;margin-top:3.75pt;width:20.8pt;height:2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" fillcolor="white [3201]" stroked="f" strokeweight="1pt">
                <v:textbox>
                  <w:txbxContent>
                    <w:p w14:paraId="1BBD268A" w14:textId="77777777" w:rsidR="00FC734D" w:rsidRPr="003C5CC7" w:rsidRDefault="00FC734D" w:rsidP="00FC734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Pr="001917E8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78E3A" wp14:editId="771A347E">
                <wp:simplePos x="0" y="0"/>
                <wp:positionH relativeFrom="column">
                  <wp:posOffset>2085975</wp:posOffset>
                </wp:positionH>
                <wp:positionV relativeFrom="paragraph">
                  <wp:posOffset>9525</wp:posOffset>
                </wp:positionV>
                <wp:extent cx="264160" cy="278765"/>
                <wp:effectExtent l="0" t="0" r="2540" b="69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8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55701" w14:textId="77777777" w:rsidR="00FC734D" w:rsidRPr="003C5CC7" w:rsidRDefault="00FC734D" w:rsidP="00FC73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C5CC7">
                              <w:rPr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78E3A" id="Rectangle 4" o:spid="_x0000_s1028" style="position:absolute;left:0;text-align:left;margin-left:164.25pt;margin-top:.75pt;width:20.8pt;height:2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" fillcolor="white [3201]" stroked="f" strokeweight="1pt">
                <v:textbox>
                  <w:txbxContent>
                    <w:p w14:paraId="13855701" w14:textId="77777777" w:rsidR="00FC734D" w:rsidRPr="003C5CC7" w:rsidRDefault="00FC734D" w:rsidP="00FC734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C5CC7">
                        <w:rPr>
                          <w:b/>
                          <w:bCs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FC734D" w:rsidRPr="001917E8">
        <w:rPr>
          <w:rFonts w:asciiTheme="minorBidi" w:hAnsiTheme="minorBidi"/>
          <w:noProof/>
          <w:lang w:val="en-GB"/>
        </w:rPr>
        <w:drawing>
          <wp:inline distT="0" distB="0" distL="0" distR="0" wp14:anchorId="7C13185B" wp14:editId="039A4B28">
            <wp:extent cx="1490400" cy="812000"/>
            <wp:effectExtent l="0" t="0" r="0" b="762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 rotWithShape="1">
                    <a:blip r:embed="rId10"/>
                    <a:srcRect l="42767" t="32602" r="23673" b="26343"/>
                    <a:stretch/>
                  </pic:blipFill>
                  <pic:spPr bwMode="auto">
                    <a:xfrm>
                      <a:off x="0" y="0"/>
                      <a:ext cx="1490400" cy="81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C734D">
        <w:rPr>
          <w:rFonts w:asciiTheme="minorBidi" w:hAnsiTheme="minorBidi"/>
          <w:noProof/>
          <w:lang w:val="en-GB"/>
        </w:rPr>
        <w:t xml:space="preserve">              </w:t>
      </w:r>
      <w:r w:rsidR="00FC734D" w:rsidRPr="001917E8">
        <w:rPr>
          <w:rFonts w:asciiTheme="minorBidi" w:hAnsiTheme="minorBidi"/>
          <w:noProof/>
          <w:lang w:val="en-GB"/>
        </w:rPr>
        <w:drawing>
          <wp:inline distT="0" distB="0" distL="0" distR="0" wp14:anchorId="4D4497AB" wp14:editId="0167A3DF">
            <wp:extent cx="1491710" cy="799200"/>
            <wp:effectExtent l="0" t="0" r="0" b="1270"/>
            <wp:docPr id="91" name="Picture 90" descr="Chart, line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9549328-5A33-487C-A6C1-2E7363C487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0" descr="Chart, line chart&#10;&#10;Description automatically generated">
                      <a:extLst>
                        <a:ext uri="{FF2B5EF4-FFF2-40B4-BE49-F238E27FC236}">
                          <a16:creationId xmlns:a16="http://schemas.microsoft.com/office/drawing/2014/main" id="{79549328-5A33-487C-A6C1-2E7363C4873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25" t="29322" r="30015" b="25786"/>
                    <a:stretch/>
                  </pic:blipFill>
                  <pic:spPr>
                    <a:xfrm>
                      <a:off x="0" y="0"/>
                      <a:ext cx="149171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734D">
        <w:rPr>
          <w:rFonts w:asciiTheme="minorBidi" w:hAnsiTheme="minorBidi"/>
          <w:noProof/>
        </w:rPr>
        <w:t xml:space="preserve">               </w:t>
      </w:r>
      <w:r w:rsidR="00FC734D" w:rsidRPr="001917E8">
        <w:rPr>
          <w:rFonts w:asciiTheme="minorBidi" w:hAnsiTheme="minorBidi"/>
          <w:noProof/>
        </w:rPr>
        <w:drawing>
          <wp:inline distT="0" distB="0" distL="0" distR="0" wp14:anchorId="71313B32" wp14:editId="08B8D159">
            <wp:extent cx="1708544" cy="801089"/>
            <wp:effectExtent l="0" t="0" r="6350" b="0"/>
            <wp:docPr id="1638077897" name="Picture 1" descr="A picture containing carto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077897" name="Picture 1" descr="A picture containing cartoon&#10;&#10;Description automatically generated"/>
                    <pic:cNvPicPr/>
                  </pic:nvPicPr>
                  <pic:blipFill rotWithShape="1">
                    <a:blip r:embed="rId12"/>
                    <a:srcRect l="17815" t="22440" r="25438" b="17813"/>
                    <a:stretch/>
                  </pic:blipFill>
                  <pic:spPr bwMode="auto">
                    <a:xfrm>
                      <a:off x="0" y="0"/>
                      <a:ext cx="1730598" cy="811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11FC6B" w14:textId="77777777" w:rsidR="00DC0B48" w:rsidRPr="00A378E5" w:rsidRDefault="00C315D2" w:rsidP="002D34AE">
      <w:pPr>
        <w:ind w:left="-57" w:right="-113"/>
        <w:jc w:val="both"/>
        <w:rPr>
          <w:rFonts w:ascii="Arial" w:eastAsia="Times New Roman" w:hAnsi="Arial" w:cs="Arial"/>
          <w:noProof/>
          <w:kern w:val="0"/>
          <w:sz w:val="20"/>
          <w:szCs w:val="20"/>
          <w:lang w:val="en-GB"/>
          <w14:ligatures w14:val="none"/>
        </w:rPr>
      </w:pPr>
      <w:r w:rsidRPr="00A378E5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 xml:space="preserve">Figure 1. </w:t>
      </w:r>
      <w:r w:rsidR="00DD1E05" w:rsidRPr="00A378E5">
        <w:rPr>
          <w:rFonts w:ascii="Arial" w:eastAsia="Times New Roman" w:hAnsi="Arial" w:cs="Arial"/>
          <w:noProof/>
          <w:kern w:val="0"/>
          <w:sz w:val="20"/>
          <w:szCs w:val="20"/>
          <w:lang w:val="en-GB"/>
          <w14:ligatures w14:val="none"/>
        </w:rPr>
        <w:t>Single crystal X-ray structures of: a) (</w:t>
      </w:r>
      <w:r w:rsidR="00DD1E05" w:rsidRPr="00A378E5">
        <w:rPr>
          <w:rFonts w:ascii="Arial" w:eastAsia="Times New Roman" w:hAnsi="Arial" w:cs="Arial"/>
          <w:b/>
          <w:bCs/>
          <w:noProof/>
          <w:kern w:val="0"/>
          <w:sz w:val="20"/>
          <w:szCs w:val="20"/>
          <w:lang w:val="en-GB"/>
          <w14:ligatures w14:val="none"/>
        </w:rPr>
        <w:t>py</w:t>
      </w:r>
      <w:r w:rsidR="00DD1E05" w:rsidRPr="00A378E5">
        <w:rPr>
          <w:rFonts w:ascii="Arial" w:eastAsia="Times New Roman" w:hAnsi="Arial" w:cs="Arial"/>
          <w:noProof/>
          <w:kern w:val="0"/>
          <w:sz w:val="20"/>
          <w:szCs w:val="20"/>
          <w:lang w:val="en-GB"/>
          <w14:ligatures w14:val="none"/>
        </w:rPr>
        <w:t>)</w:t>
      </w:r>
      <w:r w:rsidR="00DD1E05" w:rsidRPr="00A378E5">
        <w:rPr>
          <w:rFonts w:ascii="Arial" w:eastAsia="Times New Roman" w:hAnsi="Arial" w:cs="Arial"/>
          <w:noProof/>
          <w:kern w:val="0"/>
          <w:sz w:val="20"/>
          <w:szCs w:val="20"/>
          <w:vertAlign w:val="superscript"/>
          <w:lang w:val="en-GB"/>
          <w14:ligatures w14:val="none"/>
        </w:rPr>
        <w:t>+</w:t>
      </w:r>
      <w:r w:rsidR="00DD1E05" w:rsidRPr="00A378E5">
        <w:rPr>
          <w:rFonts w:ascii="Arial" w:eastAsia="Times New Roman" w:hAnsi="Arial" w:cs="Arial"/>
          <w:noProof/>
          <w:kern w:val="0"/>
          <w:sz w:val="20"/>
          <w:szCs w:val="20"/>
          <w:lang w:val="en-GB"/>
          <w14:ligatures w14:val="none"/>
        </w:rPr>
        <w:t>·(fumaric acid)</w:t>
      </w:r>
      <w:r w:rsidR="00DD1E05" w:rsidRPr="00A378E5">
        <w:rPr>
          <w:rFonts w:ascii="Arial" w:eastAsia="Times New Roman" w:hAnsi="Arial" w:cs="Arial"/>
          <w:noProof/>
          <w:kern w:val="0"/>
          <w:sz w:val="20"/>
          <w:szCs w:val="20"/>
          <w:vertAlign w:val="superscript"/>
          <w:lang w:val="en-GB"/>
          <w14:ligatures w14:val="none"/>
        </w:rPr>
        <w:t xml:space="preserve"> ̶ </w:t>
      </w:r>
      <w:r w:rsidR="00DD1E05" w:rsidRPr="00A378E5">
        <w:rPr>
          <w:rFonts w:ascii="Arial" w:eastAsia="Times New Roman" w:hAnsi="Arial" w:cs="Arial"/>
          <w:noProof/>
          <w:kern w:val="0"/>
          <w:sz w:val="20"/>
          <w:szCs w:val="20"/>
          <w:lang w:val="en-GB"/>
          <w14:ligatures w14:val="none"/>
        </w:rPr>
        <w:t xml:space="preserve"> salt, b)</w:t>
      </w:r>
      <w:r w:rsidR="00DD1E05" w:rsidRPr="00A378E5">
        <w:rPr>
          <w:rFonts w:ascii="Arial" w:eastAsia="Times New Roman" w:hAnsi="Arial" w:cs="Arial"/>
          <w:color w:val="000000"/>
          <w:kern w:val="24"/>
          <w:sz w:val="20"/>
          <w:szCs w:val="20"/>
          <w:lang w:val="en-GB" w:eastAsia="en-GB"/>
          <w14:ligatures w14:val="none"/>
        </w:rPr>
        <w:t xml:space="preserve"> </w:t>
      </w:r>
      <w:r w:rsidR="00DD1E05" w:rsidRPr="00A378E5">
        <w:rPr>
          <w:rFonts w:ascii="Arial" w:eastAsia="Times New Roman" w:hAnsi="Arial" w:cs="Arial"/>
          <w:noProof/>
          <w:kern w:val="0"/>
          <w:sz w:val="20"/>
          <w:szCs w:val="20"/>
          <w:lang w:val="en-GB"/>
          <w14:ligatures w14:val="none"/>
        </w:rPr>
        <w:t>(</w:t>
      </w:r>
      <w:r w:rsidR="00DD1E05" w:rsidRPr="00A378E5">
        <w:rPr>
          <w:rFonts w:ascii="Arial" w:eastAsia="Times New Roman" w:hAnsi="Arial" w:cs="Arial"/>
          <w:b/>
          <w:bCs/>
          <w:noProof/>
          <w:kern w:val="0"/>
          <w:sz w:val="20"/>
          <w:szCs w:val="20"/>
          <w:lang w:val="en-GB"/>
          <w14:ligatures w14:val="none"/>
        </w:rPr>
        <w:t>py</w:t>
      </w:r>
      <w:r w:rsidR="00DD1E05" w:rsidRPr="00A378E5">
        <w:rPr>
          <w:rFonts w:ascii="Arial" w:eastAsia="Times New Roman" w:hAnsi="Arial" w:cs="Arial"/>
          <w:noProof/>
          <w:kern w:val="0"/>
          <w:sz w:val="20"/>
          <w:szCs w:val="20"/>
          <w:lang w:val="en-GB"/>
          <w14:ligatures w14:val="none"/>
        </w:rPr>
        <w:t>)</w:t>
      </w:r>
      <w:r w:rsidR="00DD1E05" w:rsidRPr="00A378E5">
        <w:rPr>
          <w:rFonts w:ascii="Arial" w:eastAsia="Times New Roman" w:hAnsi="Arial" w:cs="Arial"/>
          <w:noProof/>
          <w:kern w:val="0"/>
          <w:sz w:val="20"/>
          <w:szCs w:val="20"/>
          <w:vertAlign w:val="superscript"/>
          <w:lang w:val="en-GB"/>
          <w14:ligatures w14:val="none"/>
        </w:rPr>
        <w:t>+</w:t>
      </w:r>
      <w:r w:rsidR="00DD1E05" w:rsidRPr="00A378E5">
        <w:rPr>
          <w:rFonts w:ascii="Arial" w:eastAsia="Times New Roman" w:hAnsi="Arial" w:cs="Arial"/>
          <w:noProof/>
          <w:kern w:val="0"/>
          <w:sz w:val="20"/>
          <w:szCs w:val="20"/>
          <w:lang w:val="en-GB"/>
          <w14:ligatures w14:val="none"/>
        </w:rPr>
        <w:t>·(succinic acid)</w:t>
      </w:r>
      <w:r w:rsidR="00DD1E05" w:rsidRPr="00A378E5">
        <w:rPr>
          <w:rFonts w:ascii="Arial" w:eastAsia="Times New Roman" w:hAnsi="Arial" w:cs="Arial"/>
          <w:noProof/>
          <w:kern w:val="0"/>
          <w:sz w:val="20"/>
          <w:szCs w:val="20"/>
          <w:vertAlign w:val="superscript"/>
          <w:lang w:val="en-GB"/>
          <w14:ligatures w14:val="none"/>
        </w:rPr>
        <w:t xml:space="preserve"> ̶ </w:t>
      </w:r>
      <w:r w:rsidR="00DD1E05" w:rsidRPr="00A378E5">
        <w:rPr>
          <w:rFonts w:ascii="Arial" w:eastAsia="Times New Roman" w:hAnsi="Arial" w:cs="Arial"/>
          <w:noProof/>
          <w:kern w:val="0"/>
          <w:sz w:val="20"/>
          <w:szCs w:val="20"/>
          <w:lang w:val="en-GB"/>
          <w14:ligatures w14:val="none"/>
        </w:rPr>
        <w:t>·(H</w:t>
      </w:r>
      <w:r w:rsidR="00DD1E05" w:rsidRPr="00A378E5">
        <w:rPr>
          <w:rFonts w:ascii="Arial" w:eastAsia="Times New Roman" w:hAnsi="Arial" w:cs="Arial"/>
          <w:noProof/>
          <w:kern w:val="0"/>
          <w:sz w:val="20"/>
          <w:szCs w:val="20"/>
          <w:vertAlign w:val="subscript"/>
          <w:lang w:val="en-GB"/>
          <w14:ligatures w14:val="none"/>
        </w:rPr>
        <w:t>2</w:t>
      </w:r>
      <w:r w:rsidR="00DD1E05" w:rsidRPr="00A378E5">
        <w:rPr>
          <w:rFonts w:ascii="Arial" w:eastAsia="Times New Roman" w:hAnsi="Arial" w:cs="Arial"/>
          <w:noProof/>
          <w:kern w:val="0"/>
          <w:sz w:val="20"/>
          <w:szCs w:val="20"/>
          <w:lang w:val="en-GB"/>
          <w14:ligatures w14:val="none"/>
        </w:rPr>
        <w:t>O) salt hydrate, c) (PY)</w:t>
      </w:r>
      <w:r w:rsidR="00DD1E05" w:rsidRPr="00A378E5">
        <w:rPr>
          <w:rFonts w:ascii="Arial" w:eastAsia="Times New Roman" w:hAnsi="Arial" w:cs="Arial"/>
          <w:noProof/>
          <w:kern w:val="0"/>
          <w:sz w:val="20"/>
          <w:szCs w:val="20"/>
          <w:vertAlign w:val="superscript"/>
          <w:lang w:val="en-GB"/>
          <w14:ligatures w14:val="none"/>
        </w:rPr>
        <w:t>+</w:t>
      </w:r>
      <w:r w:rsidR="00DD1E05" w:rsidRPr="00A378E5">
        <w:rPr>
          <w:rFonts w:ascii="Arial" w:eastAsia="Times New Roman" w:hAnsi="Arial" w:cs="Arial"/>
          <w:noProof/>
          <w:kern w:val="0"/>
          <w:sz w:val="20"/>
          <w:szCs w:val="20"/>
          <w:lang w:val="en-GB"/>
          <w14:ligatures w14:val="none"/>
        </w:rPr>
        <w:t>·(adipic acid)</w:t>
      </w:r>
      <w:r w:rsidR="00DD1E05" w:rsidRPr="00A378E5">
        <w:rPr>
          <w:rFonts w:ascii="Arial" w:eastAsia="Times New Roman" w:hAnsi="Arial" w:cs="Arial"/>
          <w:noProof/>
          <w:kern w:val="0"/>
          <w:sz w:val="20"/>
          <w:szCs w:val="20"/>
          <w:vertAlign w:val="superscript"/>
          <w:lang w:val="en-GB"/>
          <w14:ligatures w14:val="none"/>
        </w:rPr>
        <w:t xml:space="preserve"> ̶ </w:t>
      </w:r>
      <w:r w:rsidR="00DD1E05" w:rsidRPr="00A378E5">
        <w:rPr>
          <w:rFonts w:ascii="Arial" w:eastAsia="Times New Roman" w:hAnsi="Arial" w:cs="Arial"/>
          <w:noProof/>
          <w:kern w:val="0"/>
          <w:sz w:val="20"/>
          <w:szCs w:val="20"/>
          <w:lang w:val="en-GB"/>
          <w14:ligatures w14:val="none"/>
        </w:rPr>
        <w:t xml:space="preserve"> salt</w:t>
      </w:r>
    </w:p>
    <w:p w14:paraId="332909D4" w14:textId="0CDA7DA0" w:rsidR="00BB6C4F" w:rsidRDefault="00B8473A" w:rsidP="00BB6C4F">
      <w:pPr>
        <w:ind w:left="-57" w:right="-113"/>
        <w:jc w:val="both"/>
        <w:rPr>
          <w:rFonts w:ascii="Arial" w:eastAsia="Times New Roman" w:hAnsi="Arial" w:cs="Arial"/>
          <w:noProof/>
          <w:kern w:val="0"/>
          <w:sz w:val="20"/>
          <w:szCs w:val="20"/>
          <w:lang w:val="en-GB"/>
          <w14:ligatures w14:val="none"/>
        </w:rPr>
      </w:pPr>
      <w:r w:rsidRPr="00A378E5">
        <w:rPr>
          <w:rFonts w:ascii="Arial" w:eastAsia="Calibri" w:hAnsi="Arial" w:cs="Calibri"/>
          <w:b/>
          <w:kern w:val="0"/>
          <w:sz w:val="20"/>
          <w:szCs w:val="20"/>
          <w:lang w:val="en-GB"/>
          <w14:ligatures w14:val="none"/>
        </w:rPr>
        <w:t>Conclusion</w:t>
      </w:r>
      <w:r w:rsidR="00CE7DB5">
        <w:rPr>
          <w:rFonts w:ascii="Arial" w:eastAsia="Calibri" w:hAnsi="Arial" w:cs="Calibri"/>
          <w:b/>
          <w:kern w:val="0"/>
          <w:sz w:val="20"/>
          <w:szCs w:val="20"/>
          <w:lang w:val="en-GB"/>
          <w14:ligatures w14:val="none"/>
        </w:rPr>
        <w:t xml:space="preserve"> and future work</w:t>
      </w:r>
      <w:r w:rsidR="00C315D2" w:rsidRPr="00A378E5">
        <w:rPr>
          <w:rFonts w:ascii="Arial" w:eastAsia="Calibri" w:hAnsi="Arial" w:cs="Calibri"/>
          <w:b/>
          <w:kern w:val="0"/>
          <w:sz w:val="20"/>
          <w:szCs w:val="20"/>
          <w:lang w:val="en-GB"/>
          <w14:ligatures w14:val="none"/>
        </w:rPr>
        <w:t>.</w:t>
      </w:r>
      <w:r w:rsidR="00C315D2" w:rsidRPr="00A378E5"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  <w:t xml:space="preserve"> </w:t>
      </w:r>
      <w:r w:rsidR="00BB6C4F" w:rsidRPr="00BB6C4F">
        <w:rPr>
          <w:rFonts w:ascii="Arial" w:eastAsia="Times New Roman" w:hAnsi="Arial" w:cs="Arial"/>
          <w:noProof/>
          <w:kern w:val="0"/>
          <w:sz w:val="20"/>
          <w:szCs w:val="20"/>
          <w:lang w:val="en-GB"/>
          <w14:ligatures w14:val="none"/>
        </w:rPr>
        <w:t>This study demonstrates the successful formation of new cocrystals of vitamin B compounds and provides preliminary insights into their potential for odour masking. To confirm that cocrystallisation is an effective odour-masking strategy, a human sensory (smell) panel is required [UCL Research Ethics Committee Project ID Number: 4612/034]. Further exploration into optimising both odour and taste characteristics is warranted to improve patient acceptability and experience.</w:t>
      </w:r>
    </w:p>
    <w:p w14:paraId="5BD4FAFF" w14:textId="00D62A7F" w:rsidR="001040B4" w:rsidRPr="00A378E5" w:rsidRDefault="001040B4" w:rsidP="00BB6C4F">
      <w:pPr>
        <w:ind w:left="-57" w:right="-113"/>
        <w:jc w:val="both"/>
        <w:rPr>
          <w:rFonts w:ascii="Arial" w:eastAsia="Times New Roman" w:hAnsi="Arial" w:cs="Arial"/>
          <w:noProof/>
          <w:kern w:val="0"/>
          <w:sz w:val="20"/>
          <w:szCs w:val="20"/>
          <w:lang w:val="en-GB"/>
          <w14:ligatures w14:val="none"/>
        </w:rPr>
      </w:pPr>
      <w:r w:rsidRPr="001040B4">
        <w:rPr>
          <w:rFonts w:ascii="Arial" w:eastAsia="Times New Roman" w:hAnsi="Arial" w:cs="Arial"/>
          <w:b/>
          <w:bCs/>
          <w:noProof/>
          <w:kern w:val="0"/>
          <w:sz w:val="20"/>
          <w:szCs w:val="20"/>
          <w:lang w:val="en-GB"/>
          <w14:ligatures w14:val="none"/>
        </w:rPr>
        <w:t>Acknowledgements.</w:t>
      </w:r>
      <w:r w:rsidRPr="001040B4">
        <w:rPr>
          <w:rFonts w:ascii="Arial" w:eastAsia="Times New Roman" w:hAnsi="Arial" w:cs="Arial"/>
          <w:noProof/>
          <w:kern w:val="0"/>
          <w:sz w:val="20"/>
          <w:szCs w:val="20"/>
          <w:lang w:val="en-GB"/>
          <w14:ligatures w14:val="none"/>
        </w:rPr>
        <w:t xml:space="preserve"> </w:t>
      </w:r>
      <w:r w:rsidR="00E8793E" w:rsidRPr="00E8793E">
        <w:rPr>
          <w:rFonts w:ascii="Arial" w:eastAsia="Times New Roman" w:hAnsi="Arial" w:cs="Arial"/>
          <w:noProof/>
          <w:kern w:val="0"/>
          <w:sz w:val="20"/>
          <w:szCs w:val="20"/>
          <w:lang w:val="en-GB"/>
          <w14:ligatures w14:val="none"/>
        </w:rPr>
        <w:t>Funding and support from the EPSRC (EP/S023054/1) and the Transformative Pharmaceutical Technologies CDT are gratefully acknowledged.</w:t>
      </w:r>
    </w:p>
    <w:p w14:paraId="586ECBFA" w14:textId="77777777" w:rsidR="00FC734D" w:rsidRDefault="00C315D2" w:rsidP="002D34AE">
      <w:pPr>
        <w:pStyle w:val="EndNoteBibliography"/>
        <w:spacing w:after="0"/>
        <w:ind w:left="170" w:hanging="227"/>
        <w:rPr>
          <w:rFonts w:ascii="Arial" w:eastAsia="Calibri" w:hAnsi="Arial" w:cs="Calibri"/>
          <w:bCs/>
          <w:lang w:val="en-GB"/>
        </w:rPr>
      </w:pPr>
      <w:r w:rsidRPr="00DD1E05">
        <w:rPr>
          <w:rFonts w:ascii="Arial" w:eastAsia="Calibri" w:hAnsi="Arial" w:cs="Calibri"/>
          <w:b/>
          <w:lang w:val="en-GB"/>
        </w:rPr>
        <w:t>References:</w:t>
      </w:r>
      <w:r w:rsidRPr="00DD1E05">
        <w:rPr>
          <w:rFonts w:ascii="Arial" w:eastAsia="Calibri" w:hAnsi="Arial" w:cs="Calibri"/>
          <w:bCs/>
          <w:lang w:val="en-GB"/>
        </w:rPr>
        <w:t xml:space="preserve"> </w:t>
      </w:r>
    </w:p>
    <w:p w14:paraId="7D6E388F" w14:textId="6A7FE25D" w:rsidR="00113BB7" w:rsidRPr="00DD1E05" w:rsidRDefault="00113BB7" w:rsidP="00FC734D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GB"/>
          <w14:ligatures w14:val="none"/>
        </w:rPr>
      </w:pPr>
    </w:p>
    <w:sectPr w:rsidR="00113BB7" w:rsidRPr="00DD1E05">
      <w:headerReference w:type="even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07354" w14:textId="77777777" w:rsidR="00E14CCB" w:rsidRDefault="00E14CCB">
      <w:pPr>
        <w:spacing w:after="0" w:line="240" w:lineRule="auto"/>
      </w:pPr>
      <w:r>
        <w:separator/>
      </w:r>
    </w:p>
  </w:endnote>
  <w:endnote w:type="continuationSeparator" w:id="0">
    <w:p w14:paraId="4CCD7832" w14:textId="77777777" w:rsidR="00E14CCB" w:rsidRDefault="00E1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46FD7" w14:textId="77777777" w:rsidR="00E14CCB" w:rsidRDefault="00E14CCB">
      <w:pPr>
        <w:spacing w:after="0" w:line="240" w:lineRule="auto"/>
      </w:pPr>
      <w:r>
        <w:separator/>
      </w:r>
    </w:p>
  </w:footnote>
  <w:footnote w:type="continuationSeparator" w:id="0">
    <w:p w14:paraId="16392005" w14:textId="77777777" w:rsidR="00E14CCB" w:rsidRDefault="00E14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0CAF" w14:textId="77777777" w:rsidR="00041154" w:rsidRDefault="00041154" w:rsidP="0064236F">
    <w:pPr>
      <w:pStyle w:val="Header"/>
      <w:tabs>
        <w:tab w:val="clear" w:pos="4320"/>
        <w:tab w:val="clear" w:pos="8640"/>
        <w:tab w:val="left" w:pos="266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Royal Society of Chemistry Style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xsvrzf0jt9vwleed27x59x7rw0rx0w0ddfe&quot;&gt;Thesis EndNote&lt;record-ids&gt;&lt;item&gt;16&lt;/item&gt;&lt;/record-ids&gt;&lt;/item&gt;&lt;/Libraries&gt;"/>
  </w:docVars>
  <w:rsids>
    <w:rsidRoot w:val="00C315D2"/>
    <w:rsid w:val="00041154"/>
    <w:rsid w:val="001040B4"/>
    <w:rsid w:val="00107368"/>
    <w:rsid w:val="00113BB7"/>
    <w:rsid w:val="00164A03"/>
    <w:rsid w:val="00187A12"/>
    <w:rsid w:val="001F6F43"/>
    <w:rsid w:val="002017E6"/>
    <w:rsid w:val="00273CDE"/>
    <w:rsid w:val="00294059"/>
    <w:rsid w:val="002D34AE"/>
    <w:rsid w:val="002D6B07"/>
    <w:rsid w:val="002F498F"/>
    <w:rsid w:val="003206E4"/>
    <w:rsid w:val="003A6D5C"/>
    <w:rsid w:val="003E0269"/>
    <w:rsid w:val="00485E24"/>
    <w:rsid w:val="004A51B6"/>
    <w:rsid w:val="004B20D9"/>
    <w:rsid w:val="00510CF8"/>
    <w:rsid w:val="0057260D"/>
    <w:rsid w:val="00575A29"/>
    <w:rsid w:val="00587AE2"/>
    <w:rsid w:val="00601754"/>
    <w:rsid w:val="00672F0C"/>
    <w:rsid w:val="006A34BE"/>
    <w:rsid w:val="006E5E1B"/>
    <w:rsid w:val="006F3F1C"/>
    <w:rsid w:val="007141F2"/>
    <w:rsid w:val="007561D8"/>
    <w:rsid w:val="00774BDD"/>
    <w:rsid w:val="00783AE5"/>
    <w:rsid w:val="00795378"/>
    <w:rsid w:val="00796206"/>
    <w:rsid w:val="007C367E"/>
    <w:rsid w:val="008071C5"/>
    <w:rsid w:val="00840D53"/>
    <w:rsid w:val="00906D34"/>
    <w:rsid w:val="00927646"/>
    <w:rsid w:val="00933DC9"/>
    <w:rsid w:val="00936D4C"/>
    <w:rsid w:val="009523F9"/>
    <w:rsid w:val="009650DF"/>
    <w:rsid w:val="009B1CBB"/>
    <w:rsid w:val="009C2EF8"/>
    <w:rsid w:val="009D09CA"/>
    <w:rsid w:val="00A0516D"/>
    <w:rsid w:val="00A378E5"/>
    <w:rsid w:val="00A86BAA"/>
    <w:rsid w:val="00B4721D"/>
    <w:rsid w:val="00B74FC2"/>
    <w:rsid w:val="00B75F71"/>
    <w:rsid w:val="00B81D35"/>
    <w:rsid w:val="00B8473A"/>
    <w:rsid w:val="00BB6C4F"/>
    <w:rsid w:val="00BD6D35"/>
    <w:rsid w:val="00C21815"/>
    <w:rsid w:val="00C315D2"/>
    <w:rsid w:val="00C353D8"/>
    <w:rsid w:val="00C475E0"/>
    <w:rsid w:val="00CE7DB5"/>
    <w:rsid w:val="00CF5A91"/>
    <w:rsid w:val="00D02BB1"/>
    <w:rsid w:val="00D45A74"/>
    <w:rsid w:val="00D7428F"/>
    <w:rsid w:val="00DC0B48"/>
    <w:rsid w:val="00DD1E05"/>
    <w:rsid w:val="00DD7BE1"/>
    <w:rsid w:val="00E14CCB"/>
    <w:rsid w:val="00E314E1"/>
    <w:rsid w:val="00E8793E"/>
    <w:rsid w:val="00EC3746"/>
    <w:rsid w:val="00F25806"/>
    <w:rsid w:val="00F539FB"/>
    <w:rsid w:val="00F82419"/>
    <w:rsid w:val="00F85528"/>
    <w:rsid w:val="00FC734D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1E05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rsid w:val="00FC734D"/>
    <w:pPr>
      <w:tabs>
        <w:tab w:val="center" w:pos="4320"/>
        <w:tab w:val="right" w:pos="8640"/>
      </w:tabs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rsid w:val="00FC734D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FC734D"/>
    <w:pPr>
      <w:spacing w:after="120" w:line="240" w:lineRule="auto"/>
      <w:jc w:val="both"/>
    </w:pPr>
    <w:rPr>
      <w:rFonts w:ascii="Times New Roman" w:eastAsia="Times New Roman" w:hAnsi="Times New Roman" w:cs="Times New Roman"/>
      <w:noProof/>
      <w:kern w:val="0"/>
      <w:sz w:val="20"/>
      <w:szCs w:val="20"/>
      <w:lang w:val="en-US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FC734D"/>
    <w:rPr>
      <w:rFonts w:ascii="Times New Roman" w:eastAsia="Times New Roman" w:hAnsi="Times New Roman" w:cs="Times New Roman"/>
      <w:noProof/>
      <w:kern w:val="0"/>
      <w:sz w:val="20"/>
      <w:szCs w:val="2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FC734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C734D"/>
    <w:rPr>
      <w:i/>
      <w:iCs/>
    </w:rPr>
  </w:style>
  <w:style w:type="character" w:styleId="Strong">
    <w:name w:val="Strong"/>
    <w:basedOn w:val="DefaultParagraphFont"/>
    <w:uiPriority w:val="22"/>
    <w:qFormat/>
    <w:rsid w:val="00FC734D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2F498F"/>
    <w:pPr>
      <w:spacing w:after="0"/>
      <w:jc w:val="center"/>
    </w:pPr>
    <w:rPr>
      <w:rFonts w:ascii="Times New Roman" w:hAnsi="Times New Roman" w:cs="Times New Roman"/>
      <w:noProof/>
      <w:sz w:val="20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F498F"/>
    <w:rPr>
      <w:rFonts w:ascii="Times New Roman" w:hAnsi="Times New Roman" w:cs="Times New Roman"/>
      <w:noProof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3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Tuleu, Catherine</cp:lastModifiedBy>
  <cp:revision>19</cp:revision>
  <dcterms:created xsi:type="dcterms:W3CDTF">2025-07-20T13:52:00Z</dcterms:created>
  <dcterms:modified xsi:type="dcterms:W3CDTF">2025-07-28T14:47:00Z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