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338" w:rsidRDefault="00F7353D">
      <w:pPr>
        <w:jc w:val="both"/>
        <w:rPr>
          <w:b/>
          <w:bCs/>
          <w:sz w:val="20"/>
          <w:szCs w:val="20"/>
          <w:lang w:val="en-AU"/>
        </w:rPr>
      </w:pPr>
      <w:r>
        <w:rPr>
          <w:rFonts w:eastAsia="Times New Roman"/>
          <w:b/>
          <w:bCs/>
          <w:sz w:val="20"/>
          <w:szCs w:val="20"/>
          <w:lang w:bidi="ar"/>
        </w:rPr>
        <w:t>Effect</w:t>
      </w:r>
      <w:r w:rsidR="00B03419">
        <w:rPr>
          <w:rFonts w:eastAsia="Times New Roman"/>
          <w:b/>
          <w:bCs/>
          <w:sz w:val="20"/>
          <w:szCs w:val="20"/>
          <w:lang w:bidi="ar"/>
        </w:rPr>
        <w:t xml:space="preserve"> of SGLT2 Inhibitors on UTI Incidence in Patients with </w:t>
      </w:r>
      <w:r>
        <w:rPr>
          <w:rFonts w:eastAsia="Times New Roman"/>
          <w:b/>
          <w:bCs/>
          <w:sz w:val="20"/>
          <w:szCs w:val="20"/>
          <w:lang w:bidi="ar"/>
        </w:rPr>
        <w:t>T2DM</w:t>
      </w:r>
      <w:r w:rsidR="00B03419">
        <w:rPr>
          <w:rFonts w:eastAsia="Times New Roman"/>
          <w:b/>
          <w:bCs/>
          <w:sz w:val="20"/>
          <w:szCs w:val="20"/>
          <w:lang w:bidi="ar"/>
        </w:rPr>
        <w:t>. Systematic Review</w:t>
      </w:r>
      <w:bookmarkStart w:id="0" w:name="_GoBack"/>
      <w:bookmarkEnd w:id="0"/>
    </w:p>
    <w:p w:rsidR="003C7338" w:rsidRDefault="00B03419">
      <w:pPr>
        <w:jc w:val="both"/>
        <w:rPr>
          <w:sz w:val="20"/>
          <w:szCs w:val="20"/>
          <w:lang w:val="en-AU"/>
        </w:rPr>
      </w:pPr>
      <w:r>
        <w:rPr>
          <w:sz w:val="20"/>
          <w:szCs w:val="20"/>
          <w:lang w:bidi="ar"/>
        </w:rPr>
        <w:t xml:space="preserve">Dixxie </w:t>
      </w:r>
      <w:proofErr w:type="spellStart"/>
      <w:r>
        <w:rPr>
          <w:sz w:val="20"/>
          <w:szCs w:val="20"/>
          <w:lang w:bidi="ar"/>
        </w:rPr>
        <w:t>Rhentsia</w:t>
      </w:r>
      <w:proofErr w:type="spellEnd"/>
      <w:r>
        <w:rPr>
          <w:sz w:val="20"/>
          <w:szCs w:val="20"/>
          <w:lang w:bidi="ar"/>
        </w:rPr>
        <w:t xml:space="preserve"> Regina </w:t>
      </w:r>
      <w:proofErr w:type="spellStart"/>
      <w:r>
        <w:rPr>
          <w:sz w:val="20"/>
          <w:szCs w:val="20"/>
          <w:lang w:bidi="ar"/>
        </w:rPr>
        <w:t>Teopilus</w:t>
      </w:r>
      <w:proofErr w:type="spellEnd"/>
      <w:r>
        <w:rPr>
          <w:sz w:val="20"/>
          <w:szCs w:val="20"/>
          <w:vertAlign w:val="superscript"/>
          <w:lang w:val="en-AU"/>
        </w:rPr>
        <w:t>1</w:t>
      </w:r>
      <w:r>
        <w:rPr>
          <w:sz w:val="20"/>
          <w:szCs w:val="20"/>
          <w:lang w:val="en-AU"/>
        </w:rPr>
        <w:t xml:space="preserve">, </w:t>
      </w:r>
      <w:r>
        <w:rPr>
          <w:sz w:val="20"/>
          <w:szCs w:val="20"/>
        </w:rPr>
        <w:t>Abraham Simatupang</w:t>
      </w:r>
      <w:r>
        <w:rPr>
          <w:sz w:val="20"/>
          <w:szCs w:val="20"/>
          <w:vertAlign w:val="superscript"/>
          <w:lang w:val="en-AU"/>
        </w:rPr>
        <w:t>2</w:t>
      </w:r>
      <w:r>
        <w:rPr>
          <w:sz w:val="20"/>
          <w:szCs w:val="20"/>
          <w:vertAlign w:val="superscript"/>
        </w:rPr>
        <w:t>*</w:t>
      </w:r>
      <w:r>
        <w:rPr>
          <w:sz w:val="20"/>
          <w:szCs w:val="20"/>
          <w:lang w:val="en-AU"/>
        </w:rPr>
        <w:t xml:space="preserve">. </w:t>
      </w:r>
      <w:r>
        <w:rPr>
          <w:sz w:val="20"/>
          <w:szCs w:val="20"/>
        </w:rPr>
        <w:t xml:space="preserve">Ida </w:t>
      </w:r>
      <w:proofErr w:type="spellStart"/>
      <w:r>
        <w:rPr>
          <w:sz w:val="20"/>
          <w:szCs w:val="20"/>
        </w:rPr>
        <w:t>Bagus</w:t>
      </w:r>
      <w:proofErr w:type="spellEnd"/>
      <w:r>
        <w:rPr>
          <w:sz w:val="20"/>
          <w:szCs w:val="20"/>
        </w:rPr>
        <w:t xml:space="preserve"> </w:t>
      </w:r>
      <w:proofErr w:type="spellStart"/>
      <w:r>
        <w:rPr>
          <w:sz w:val="20"/>
          <w:szCs w:val="20"/>
        </w:rPr>
        <w:t>Eka</w:t>
      </w:r>
      <w:proofErr w:type="spellEnd"/>
      <w:r>
        <w:rPr>
          <w:sz w:val="20"/>
          <w:szCs w:val="20"/>
        </w:rPr>
        <w:t xml:space="preserve"> Utama</w:t>
      </w:r>
      <w:r>
        <w:rPr>
          <w:sz w:val="20"/>
          <w:szCs w:val="20"/>
          <w:vertAlign w:val="superscript"/>
        </w:rPr>
        <w:t>3</w:t>
      </w:r>
      <w:r>
        <w:rPr>
          <w:sz w:val="20"/>
          <w:szCs w:val="20"/>
        </w:rPr>
        <w:t>. Undergraduate S</w:t>
      </w:r>
      <w:r w:rsidR="00016D36">
        <w:rPr>
          <w:sz w:val="20"/>
          <w:szCs w:val="20"/>
        </w:rPr>
        <w:t>t</w:t>
      </w:r>
      <w:r>
        <w:rPr>
          <w:sz w:val="20"/>
          <w:szCs w:val="20"/>
        </w:rPr>
        <w:t>udy Program</w:t>
      </w:r>
      <w:r>
        <w:rPr>
          <w:sz w:val="20"/>
          <w:szCs w:val="20"/>
          <w:lang w:val="en-AU"/>
        </w:rPr>
        <w:t xml:space="preserve">, </w:t>
      </w:r>
      <w:r>
        <w:rPr>
          <w:sz w:val="20"/>
          <w:szCs w:val="20"/>
        </w:rPr>
        <w:t>Faculty of Medicine-Universitas Kristen Indonesia</w:t>
      </w:r>
      <w:r>
        <w:rPr>
          <w:sz w:val="20"/>
          <w:szCs w:val="20"/>
          <w:vertAlign w:val="superscript"/>
          <w:lang w:val="en-AU"/>
        </w:rPr>
        <w:t>1</w:t>
      </w:r>
      <w:r>
        <w:rPr>
          <w:sz w:val="20"/>
          <w:szCs w:val="20"/>
          <w:lang w:val="en-AU"/>
        </w:rPr>
        <w:t xml:space="preserve">, </w:t>
      </w:r>
      <w:r>
        <w:rPr>
          <w:sz w:val="20"/>
          <w:szCs w:val="20"/>
        </w:rPr>
        <w:t>Jakarta</w:t>
      </w:r>
      <w:r>
        <w:rPr>
          <w:sz w:val="20"/>
          <w:szCs w:val="20"/>
          <w:lang w:val="en-AU"/>
        </w:rPr>
        <w:t xml:space="preserve">, </w:t>
      </w:r>
      <w:r>
        <w:rPr>
          <w:sz w:val="20"/>
          <w:szCs w:val="20"/>
        </w:rPr>
        <w:t>Indonesia</w:t>
      </w:r>
      <w:r>
        <w:rPr>
          <w:sz w:val="20"/>
          <w:szCs w:val="20"/>
          <w:lang w:val="en-AU"/>
        </w:rPr>
        <w:t xml:space="preserve">; Department </w:t>
      </w:r>
      <w:r>
        <w:rPr>
          <w:sz w:val="20"/>
          <w:szCs w:val="20"/>
        </w:rPr>
        <w:t>of Pharmacology &amp; Therapy</w:t>
      </w:r>
      <w:r>
        <w:rPr>
          <w:sz w:val="20"/>
          <w:szCs w:val="20"/>
          <w:lang w:val="en-AU"/>
        </w:rPr>
        <w:t xml:space="preserve">, </w:t>
      </w:r>
      <w:r>
        <w:rPr>
          <w:sz w:val="20"/>
          <w:szCs w:val="20"/>
        </w:rPr>
        <w:t>Faculty of Medicine-Universitas Kristen Indonesia</w:t>
      </w:r>
      <w:r>
        <w:rPr>
          <w:sz w:val="20"/>
          <w:szCs w:val="20"/>
          <w:vertAlign w:val="superscript"/>
          <w:lang w:val="en-AU"/>
        </w:rPr>
        <w:t>2</w:t>
      </w:r>
      <w:r>
        <w:rPr>
          <w:sz w:val="20"/>
          <w:szCs w:val="20"/>
          <w:lang w:val="en-AU"/>
        </w:rPr>
        <w:t xml:space="preserve">, </w:t>
      </w:r>
      <w:r>
        <w:rPr>
          <w:sz w:val="20"/>
          <w:szCs w:val="20"/>
        </w:rPr>
        <w:t xml:space="preserve">Jakarta, Indonesia; </w:t>
      </w:r>
      <w:r>
        <w:rPr>
          <w:sz w:val="20"/>
          <w:szCs w:val="20"/>
          <w:lang w:val="en-AU"/>
        </w:rPr>
        <w:t xml:space="preserve">Department </w:t>
      </w:r>
      <w:r>
        <w:rPr>
          <w:sz w:val="20"/>
          <w:szCs w:val="20"/>
        </w:rPr>
        <w:t>of Pediatric</w:t>
      </w:r>
      <w:r>
        <w:rPr>
          <w:sz w:val="20"/>
          <w:szCs w:val="20"/>
          <w:lang w:val="en-AU"/>
        </w:rPr>
        <w:t xml:space="preserve">, </w:t>
      </w:r>
      <w:r>
        <w:rPr>
          <w:sz w:val="20"/>
          <w:szCs w:val="20"/>
        </w:rPr>
        <w:t>Faculty of Medicine-Universitas Kristen Indonesia</w:t>
      </w:r>
      <w:r>
        <w:rPr>
          <w:sz w:val="20"/>
          <w:szCs w:val="20"/>
          <w:vertAlign w:val="superscript"/>
        </w:rPr>
        <w:t>3</w:t>
      </w:r>
      <w:r>
        <w:rPr>
          <w:sz w:val="20"/>
          <w:szCs w:val="20"/>
          <w:lang w:val="en-AU"/>
        </w:rPr>
        <w:t xml:space="preserve">, </w:t>
      </w:r>
      <w:r>
        <w:rPr>
          <w:sz w:val="20"/>
          <w:szCs w:val="20"/>
        </w:rPr>
        <w:t>Jakarta, Indonesia</w:t>
      </w:r>
      <w:r>
        <w:rPr>
          <w:sz w:val="20"/>
          <w:szCs w:val="20"/>
          <w:lang w:val="en-AU"/>
        </w:rPr>
        <w:t xml:space="preserve"> </w:t>
      </w:r>
    </w:p>
    <w:p w:rsidR="003C7338" w:rsidRDefault="00B03419">
      <w:pPr>
        <w:pStyle w:val="Default"/>
        <w:jc w:val="both"/>
        <w:rPr>
          <w:color w:val="auto"/>
          <w:sz w:val="20"/>
          <w:szCs w:val="20"/>
          <w:lang w:val="en-AU"/>
        </w:rPr>
      </w:pPr>
      <w:r>
        <w:rPr>
          <w:i/>
          <w:color w:val="auto"/>
          <w:sz w:val="20"/>
          <w:szCs w:val="20"/>
        </w:rPr>
        <w:t xml:space="preserve"> </w:t>
      </w:r>
    </w:p>
    <w:p w:rsidR="003C7338" w:rsidRDefault="00E10AEB">
      <w:pPr>
        <w:jc w:val="both"/>
        <w:rPr>
          <w:sz w:val="20"/>
          <w:szCs w:val="20"/>
        </w:rPr>
      </w:pPr>
      <w:r>
        <w:rPr>
          <w:noProof/>
        </w:rPr>
        <mc:AlternateContent>
          <mc:Choice Requires="wps">
            <w:drawing>
              <wp:anchor distT="0" distB="0" distL="114300" distR="114300" simplePos="0" relativeHeight="251660288" behindDoc="0" locked="0" layoutInCell="1" allowOverlap="1" wp14:anchorId="5A375C3B" wp14:editId="18DA2944">
                <wp:simplePos x="0" y="0"/>
                <wp:positionH relativeFrom="column">
                  <wp:posOffset>3646170</wp:posOffset>
                </wp:positionH>
                <wp:positionV relativeFrom="paragraph">
                  <wp:posOffset>1530350</wp:posOffset>
                </wp:positionV>
                <wp:extent cx="233616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336165" cy="635"/>
                        </a:xfrm>
                        <a:prstGeom prst="rect">
                          <a:avLst/>
                        </a:prstGeom>
                        <a:solidFill>
                          <a:prstClr val="white"/>
                        </a:solidFill>
                        <a:ln>
                          <a:noFill/>
                        </a:ln>
                      </wps:spPr>
                      <wps:txbx>
                        <w:txbxContent>
                          <w:p w:rsidR="00E10AEB" w:rsidRPr="00BE6034" w:rsidRDefault="00E10AEB" w:rsidP="00E10AEB">
                            <w:pPr>
                              <w:pStyle w:val="Caption"/>
                              <w:rPr>
                                <w:noProof/>
                                <w:sz w:val="24"/>
                                <w:szCs w:val="24"/>
                              </w:rPr>
                            </w:pPr>
                            <w:r>
                              <w:t xml:space="preserve">Figure </w:t>
                            </w:r>
                            <w:fldSimple w:instr=" SEQ Figure \* ARABIC ">
                              <w:r>
                                <w:rPr>
                                  <w:noProof/>
                                </w:rPr>
                                <w:t>1</w:t>
                              </w:r>
                            </w:fldSimple>
                            <w:r>
                              <w:t xml:space="preserve">. Forest plot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A375C3B" id="_x0000_t202" coordsize="21600,21600" o:spt="202" path="m,l,21600r21600,l21600,xe">
                <v:stroke joinstyle="miter"/>
                <v:path gradientshapeok="t" o:connecttype="rect"/>
              </v:shapetype>
              <v:shape id="Text Box 1" o:spid="_x0000_s1026" type="#_x0000_t202" style="position:absolute;left:0;text-align:left;margin-left:287.1pt;margin-top:120.5pt;width:183.9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" stroked="f">
                <v:textbox style="mso-fit-shape-to-text:t" inset="0,0,0,0">
                  <w:txbxContent>
                    <w:p w:rsidR="00E10AEB" w:rsidRPr="00BE6034" w:rsidRDefault="00E10AEB" w:rsidP="00E10AEB">
                      <w:pPr>
                        <w:pStyle w:val="Caption"/>
                        <w:rPr>
                          <w:noProof/>
                          <w:sz w:val="24"/>
                          <w:szCs w:val="24"/>
                        </w:rPr>
                      </w:pPr>
                      <w:r>
                        <w:t xml:space="preserve">Figure </w:t>
                      </w:r>
                      <w:fldSimple w:instr=" SEQ Figure \* ARABIC ">
                        <w:r>
                          <w:rPr>
                            <w:noProof/>
                          </w:rPr>
                          <w:t>1</w:t>
                        </w:r>
                      </w:fldSimple>
                      <w:r>
                        <w:t xml:space="preserve">. Forest plot </w:t>
                      </w:r>
                    </w:p>
                  </w:txbxContent>
                </v:textbox>
                <w10:wrap type="square"/>
              </v:shape>
            </w:pict>
          </mc:Fallback>
        </mc:AlternateContent>
      </w:r>
      <w:r w:rsidR="002C2792">
        <w:rPr>
          <w:noProof/>
        </w:rPr>
        <w:drawing>
          <wp:anchor distT="0" distB="0" distL="114300" distR="114300" simplePos="0" relativeHeight="251658240" behindDoc="0" locked="0" layoutInCell="1" allowOverlap="1" wp14:anchorId="3F73DE89" wp14:editId="5B2D14DF">
            <wp:simplePos x="0" y="0"/>
            <wp:positionH relativeFrom="column">
              <wp:posOffset>3646170</wp:posOffset>
            </wp:positionH>
            <wp:positionV relativeFrom="paragraph">
              <wp:posOffset>6350</wp:posOffset>
            </wp:positionV>
            <wp:extent cx="2336165" cy="146685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11 at 14.10.15.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6165" cy="1466850"/>
                    </a:xfrm>
                    <a:prstGeom prst="rect">
                      <a:avLst/>
                    </a:prstGeom>
                  </pic:spPr>
                </pic:pic>
              </a:graphicData>
            </a:graphic>
            <wp14:sizeRelH relativeFrom="margin">
              <wp14:pctWidth>0</wp14:pctWidth>
            </wp14:sizeRelH>
            <wp14:sizeRelV relativeFrom="margin">
              <wp14:pctHeight>0</wp14:pctHeight>
            </wp14:sizeRelV>
          </wp:anchor>
        </w:drawing>
      </w:r>
      <w:r w:rsidR="00B03419">
        <w:rPr>
          <w:b/>
          <w:bCs/>
          <w:sz w:val="20"/>
          <w:szCs w:val="20"/>
          <w:lang w:val="en-AU"/>
        </w:rPr>
        <w:t>Introduction.</w:t>
      </w:r>
      <w:r w:rsidR="00B03419">
        <w:rPr>
          <w:sz w:val="20"/>
          <w:szCs w:val="20"/>
          <w:lang w:val="en-AU"/>
        </w:rPr>
        <w:t xml:space="preserve"> </w:t>
      </w:r>
      <w:r w:rsidR="00B03419">
        <w:rPr>
          <w:rStyle w:val="Emphasis"/>
          <w:rFonts w:cs="Times New Roman" w:hint="eastAsia"/>
          <w:i w:val="0"/>
          <w:sz w:val="20"/>
          <w:szCs w:val="20"/>
          <w:lang w:bidi="ar"/>
        </w:rPr>
        <w:t>Sodium Glucose Transporter 2 Inhibitors (SGLT-2i) are FDA-approved drugs for lowering blood glucose levels in T2DM patients, offering additional benefits such as reducing cardiovascular events and slowing the progression of chronic kidney disease. However, the use of SGLT-2i has also been associated with a potential risk of urinary tract infections (UTI)</w:t>
      </w:r>
      <w:r w:rsidR="00B03419">
        <w:rPr>
          <w:rStyle w:val="Emphasis"/>
          <w:rFonts w:cs="Times New Roman"/>
          <w:i w:val="0"/>
          <w:sz w:val="20"/>
          <w:szCs w:val="20"/>
          <w:lang w:bidi="ar"/>
        </w:rPr>
        <w:t>.</w:t>
      </w:r>
    </w:p>
    <w:p w:rsidR="003C7338" w:rsidRDefault="00B03419">
      <w:pPr>
        <w:jc w:val="both"/>
        <w:rPr>
          <w:sz w:val="20"/>
          <w:szCs w:val="20"/>
          <w:lang w:val="en-AU"/>
        </w:rPr>
      </w:pPr>
      <w:r>
        <w:rPr>
          <w:b/>
          <w:bCs/>
          <w:sz w:val="20"/>
          <w:szCs w:val="20"/>
          <w:lang w:val="en-AU"/>
        </w:rPr>
        <w:t>Aims</w:t>
      </w:r>
      <w:r>
        <w:rPr>
          <w:sz w:val="20"/>
          <w:szCs w:val="20"/>
          <w:lang w:val="en-AU"/>
        </w:rPr>
        <w:t xml:space="preserve">. </w:t>
      </w:r>
      <w:r>
        <w:rPr>
          <w:rStyle w:val="Emphasis"/>
          <w:rFonts w:cs="Times New Roman" w:hint="eastAsia"/>
          <w:i w:val="0"/>
          <w:sz w:val="20"/>
          <w:szCs w:val="20"/>
          <w:lang w:bidi="ar"/>
        </w:rPr>
        <w:t>This study aimed to evaluate the effect of SGLT-2 inhibitor use on the incidence of UTI in patients with T2DM</w:t>
      </w:r>
      <w:r>
        <w:rPr>
          <w:sz w:val="20"/>
          <w:szCs w:val="20"/>
          <w:lang w:val="en-AU"/>
        </w:rPr>
        <w:t>.</w:t>
      </w:r>
    </w:p>
    <w:p w:rsidR="003C7338" w:rsidRDefault="00B03419">
      <w:pPr>
        <w:jc w:val="both"/>
        <w:rPr>
          <w:sz w:val="20"/>
          <w:szCs w:val="20"/>
          <w:lang w:val="en-AU"/>
        </w:rPr>
      </w:pPr>
      <w:r>
        <w:rPr>
          <w:b/>
          <w:bCs/>
          <w:sz w:val="20"/>
          <w:szCs w:val="20"/>
          <w:lang w:val="en-AU"/>
        </w:rPr>
        <w:t>Methods</w:t>
      </w:r>
      <w:r>
        <w:rPr>
          <w:sz w:val="20"/>
          <w:szCs w:val="20"/>
          <w:lang w:val="en-AU"/>
        </w:rPr>
        <w:t xml:space="preserve">. </w:t>
      </w:r>
      <w:r>
        <w:rPr>
          <w:sz w:val="20"/>
          <w:szCs w:val="20"/>
        </w:rPr>
        <w:t>This was a</w:t>
      </w:r>
      <w:r>
        <w:rPr>
          <w:rStyle w:val="Emphasis"/>
          <w:rFonts w:hint="eastAsia"/>
          <w:i w:val="0"/>
          <w:sz w:val="20"/>
          <w:szCs w:val="20"/>
        </w:rPr>
        <w:t xml:space="preserve"> quantitative systematic review </w:t>
      </w:r>
      <w:r w:rsidR="00016D36">
        <w:rPr>
          <w:rStyle w:val="Emphasis"/>
          <w:i w:val="0"/>
          <w:sz w:val="20"/>
          <w:szCs w:val="20"/>
        </w:rPr>
        <w:t>study</w:t>
      </w:r>
      <w:r w:rsidR="002C2792">
        <w:rPr>
          <w:rStyle w:val="Emphasis"/>
          <w:i w:val="0"/>
          <w:sz w:val="20"/>
          <w:szCs w:val="20"/>
        </w:rPr>
        <w:t>.</w:t>
      </w:r>
      <w:r>
        <w:rPr>
          <w:rStyle w:val="Emphasis"/>
          <w:rFonts w:hint="eastAsia"/>
          <w:i w:val="0"/>
          <w:sz w:val="20"/>
          <w:szCs w:val="20"/>
        </w:rPr>
        <w:t xml:space="preserve">  Systematic literature searches covering the years 2014–2025 were carried out using scientific databases such as PubMed, Cochrane Library, Scopus, and Google Scholar.  Following a thorough selection procedure that included duplication removal, title/abstract relevance, and inclusion/exclusion criteria, 19 of the 952 initially found articles satisfied the requirements for additional analysis utilizing Review Manager 5.4 software.</w:t>
      </w:r>
    </w:p>
    <w:p w:rsidR="003C7338" w:rsidRDefault="00B03419">
      <w:pPr>
        <w:jc w:val="both"/>
        <w:rPr>
          <w:sz w:val="20"/>
          <w:szCs w:val="20"/>
          <w:lang w:val="en-AU"/>
        </w:rPr>
      </w:pPr>
      <w:r>
        <w:rPr>
          <w:b/>
          <w:bCs/>
          <w:sz w:val="20"/>
          <w:szCs w:val="20"/>
          <w:lang w:val="en-AU"/>
        </w:rPr>
        <w:t>Results.</w:t>
      </w:r>
      <w:r>
        <w:rPr>
          <w:sz w:val="20"/>
          <w:szCs w:val="20"/>
          <w:lang w:val="en-AU"/>
        </w:rPr>
        <w:t xml:space="preserve"> </w:t>
      </w:r>
      <w:r>
        <w:rPr>
          <w:rStyle w:val="Emphasis"/>
          <w:rFonts w:cs="Times New Roman" w:hint="eastAsia"/>
          <w:i w:val="0"/>
          <w:sz w:val="20"/>
          <w:szCs w:val="20"/>
          <w:lang w:bidi="ar"/>
        </w:rPr>
        <w:t>The meta-analysis of the 19 studies revealed no statistically significant difference between the SGLT-2 inhibitor user group and the control group regarding the incidence of UTI. The aggregate odds ratio (OR) was 0.99 (95% CI: 0.96 – 1.02) with a p-value of 0.59.</w:t>
      </w:r>
    </w:p>
    <w:p w:rsidR="003C7338" w:rsidRDefault="00B03419">
      <w:pPr>
        <w:jc w:val="both"/>
        <w:rPr>
          <w:rStyle w:val="Emphasis"/>
          <w:rFonts w:cs="Times New Roman"/>
          <w:i w:val="0"/>
          <w:sz w:val="20"/>
          <w:szCs w:val="20"/>
          <w:lang w:bidi="ar"/>
        </w:rPr>
      </w:pPr>
      <w:r>
        <w:rPr>
          <w:b/>
          <w:bCs/>
          <w:sz w:val="20"/>
          <w:szCs w:val="20"/>
          <w:lang w:val="en-AU"/>
        </w:rPr>
        <w:t>Discussion.</w:t>
      </w:r>
      <w:r>
        <w:rPr>
          <w:sz w:val="20"/>
          <w:szCs w:val="20"/>
          <w:lang w:val="en-AU"/>
        </w:rPr>
        <w:t xml:space="preserve"> </w:t>
      </w:r>
      <w:r>
        <w:rPr>
          <w:rStyle w:val="Emphasis"/>
          <w:rFonts w:cs="Times New Roman" w:hint="eastAsia"/>
          <w:i w:val="0"/>
          <w:sz w:val="20"/>
          <w:szCs w:val="20"/>
          <w:lang w:bidi="ar"/>
        </w:rPr>
        <w:t>The use of SGLT-2 inhibitors is not significantly associated with an increased or decreased risk of UTI incidence. Nevertheless, factors such as female gender and initial duration of use (12-24 weeks) may influence UTI incidence in certain individuals.</w:t>
      </w:r>
    </w:p>
    <w:p w:rsidR="00B03419" w:rsidRDefault="00B03419">
      <w:pPr>
        <w:jc w:val="both"/>
        <w:rPr>
          <w:rStyle w:val="Emphasis"/>
          <w:rFonts w:cs="Times New Roman"/>
          <w:i w:val="0"/>
          <w:sz w:val="20"/>
          <w:szCs w:val="20"/>
          <w:lang w:bidi="ar"/>
        </w:rPr>
      </w:pPr>
    </w:p>
    <w:p w:rsidR="00B03419" w:rsidRDefault="00B03419">
      <w:pPr>
        <w:jc w:val="both"/>
        <w:rPr>
          <w:sz w:val="20"/>
          <w:szCs w:val="20"/>
          <w:lang w:val="en-AU"/>
        </w:rPr>
      </w:pPr>
      <w:r>
        <w:rPr>
          <w:rStyle w:val="Emphasis"/>
          <w:rFonts w:cs="Times New Roman"/>
          <w:i w:val="0"/>
          <w:sz w:val="20"/>
          <w:szCs w:val="20"/>
          <w:lang w:bidi="ar"/>
        </w:rPr>
        <w:t>*Corresponding author: abraham.simatupang@uki.ac.id</w:t>
      </w:r>
    </w:p>
    <w:sectPr w:rsidR="00B03419">
      <w:pgSz w:w="11906" w:h="8391" w:orient="landscape"/>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default"/>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57"/>
  <w:characterSpacingControl w:val="doNotCompress"/>
  <w:savePreviewPictur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BB"/>
    <w:rsid w:val="00016D36"/>
    <w:rsid w:val="000A4FA6"/>
    <w:rsid w:val="002226BB"/>
    <w:rsid w:val="002272B0"/>
    <w:rsid w:val="002C2792"/>
    <w:rsid w:val="00300B92"/>
    <w:rsid w:val="003238D9"/>
    <w:rsid w:val="00387491"/>
    <w:rsid w:val="003C7338"/>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03419"/>
    <w:rsid w:val="00BC5FCC"/>
    <w:rsid w:val="00C132EC"/>
    <w:rsid w:val="00C60A71"/>
    <w:rsid w:val="00D55F3B"/>
    <w:rsid w:val="00DA2731"/>
    <w:rsid w:val="00E10AEB"/>
    <w:rsid w:val="00EF12F3"/>
    <w:rsid w:val="00F02477"/>
    <w:rsid w:val="00F7353D"/>
    <w:rsid w:val="00F90F73"/>
    <w:rsid w:val="00F97620"/>
    <w:rsid w:val="33E172AE"/>
    <w:rsid w:val="74170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1DC21"/>
  <w15:docId w15:val="{739C5D2E-33FD-4B35-A2CB-650A9FE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pPr>
      <w:spacing w:before="240" w:after="60"/>
      <w:outlineLvl w:val="4"/>
    </w:pPr>
    <w:rPr>
      <w:rFonts w:eastAsia="PMingLiU"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3">
    <w:name w:val="Body Text Indent 3"/>
    <w:basedOn w:val="Normal"/>
    <w:semiHidden/>
    <w:pPr>
      <w:spacing w:before="120" w:after="120"/>
      <w:ind w:left="-90"/>
      <w:jc w:val="center"/>
    </w:pPr>
    <w:rPr>
      <w:rFonts w:ascii="Times" w:hAnsi="Times"/>
      <w:szCs w:val="20"/>
    </w:rPr>
  </w:style>
  <w:style w:type="character" w:styleId="Emphasis">
    <w:name w:val="Emphasis"/>
    <w:basedOn w:val="DefaultParagraphFont"/>
    <w:uiPriority w:val="20"/>
    <w:qFormat/>
    <w:rPr>
      <w:i/>
      <w:iCs/>
    </w:rPr>
  </w:style>
  <w:style w:type="character" w:styleId="Hyperlink">
    <w:name w:val="Hyperlink"/>
    <w:uiPriority w:val="99"/>
    <w:unhideWhenUsed/>
    <w:rPr>
      <w:color w:val="0563C1"/>
      <w:u w:val="single"/>
    </w:rPr>
  </w:style>
  <w:style w:type="character" w:styleId="Strong">
    <w:name w:val="Strong"/>
    <w:uiPriority w:val="22"/>
    <w:qFormat/>
    <w:rPr>
      <w:b/>
      <w:bCs/>
    </w:rPr>
  </w:style>
  <w:style w:type="character" w:customStyle="1" w:styleId="Heading5Char">
    <w:name w:val="Heading 5 Char"/>
    <w:link w:val="Heading5"/>
    <w:uiPriority w:val="9"/>
    <w:semiHidden/>
    <w:rPr>
      <w:rFonts w:ascii="Calibri" w:eastAsia="PMingLiU" w:hAnsi="Calibri" w:cs="Times New Roman"/>
      <w:b/>
      <w:bCs/>
      <w:i/>
      <w:iCs/>
      <w:sz w:val="26"/>
      <w:szCs w:val="26"/>
      <w:lang w:eastAsia="en-US"/>
    </w:rPr>
  </w:style>
  <w:style w:type="paragraph" w:customStyle="1" w:styleId="Default">
    <w:name w:val="Default"/>
    <w:pPr>
      <w:widowControl w:val="0"/>
      <w:autoSpaceDE w:val="0"/>
      <w:autoSpaceDN w:val="0"/>
      <w:adjustRightInd w:val="0"/>
    </w:pPr>
    <w:rPr>
      <w:color w:val="000000"/>
      <w:sz w:val="24"/>
      <w:szCs w:val="24"/>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customStyle="1" w:styleId="a">
    <w:uiPriority w:val="99"/>
    <w:semiHidden/>
    <w:unhideWhenUsed/>
    <w:rPr>
      <w:color w:val="605E5C"/>
      <w:shd w:val="clear" w:color="auto" w:fill="E1DFDD"/>
    </w:rPr>
  </w:style>
  <w:style w:type="paragraph" w:styleId="Caption">
    <w:name w:val="caption"/>
    <w:basedOn w:val="Normal"/>
    <w:next w:val="Normal"/>
    <w:uiPriority w:val="35"/>
    <w:unhideWhenUsed/>
    <w:qFormat/>
    <w:rsid w:val="00E10AE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1769</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creator>gillard</dc:creator>
  <cp:lastModifiedBy>Abraham Simatupang</cp:lastModifiedBy>
  <cp:revision>2</cp:revision>
  <cp:lastPrinted>2013-06-13T05:15:00Z</cp:lastPrinted>
  <dcterms:created xsi:type="dcterms:W3CDTF">2025-09-15T04:36:00Z</dcterms:created>
  <dcterms:modified xsi:type="dcterms:W3CDTF">2025-09-15T04:36:00Z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KSOProductBuildVer">
    <vt:lpwstr>1033-12.2.0.21931</vt:lpwstr>
  </property>
  <property fmtid="{D5CDD505-2E9C-101B-9397-08002B2CF9AE}" pid="5" name="ICV">
    <vt:lpwstr>4F3DD51C36884FAE912E6421861BEC88_13</vt:lpwstr>
  </property>
  <property fmtid="{D5CDD505-2E9C-101B-9397-08002B2CF9AE}" pid="6" name="GrammarlyDocumentId">
    <vt:lpwstr>3edc779a-0e62-42d5-9384-c3cbe59151a7</vt:lpwstr>
  </property>
</Properties>
</file>