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9C02" w14:textId="740C0B61" w:rsidR="00E16AC6" w:rsidRDefault="00945E48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E16AC6">
        <w:rPr>
          <w:rFonts w:ascii="Calibri" w:hAnsi="Calibri" w:cs="Calibri"/>
          <w:b/>
          <w:sz w:val="20"/>
          <w:szCs w:val="20"/>
          <w:lang w:val="en-AU"/>
        </w:rPr>
        <w:t xml:space="preserve">Medicines </w:t>
      </w:r>
      <w:r>
        <w:rPr>
          <w:rFonts w:ascii="Calibri" w:hAnsi="Calibri" w:cs="Calibri"/>
          <w:b/>
          <w:sz w:val="20"/>
          <w:szCs w:val="20"/>
          <w:lang w:val="en-AU"/>
        </w:rPr>
        <w:t>s</w:t>
      </w:r>
      <w:r w:rsidRPr="00E16AC6">
        <w:rPr>
          <w:rFonts w:ascii="Calibri" w:hAnsi="Calibri" w:cs="Calibri"/>
          <w:b/>
          <w:sz w:val="20"/>
          <w:szCs w:val="20"/>
          <w:lang w:val="en-AU"/>
        </w:rPr>
        <w:t xml:space="preserve">afety in </w:t>
      </w:r>
      <w:r>
        <w:rPr>
          <w:rFonts w:ascii="Calibri" w:hAnsi="Calibri" w:cs="Calibri"/>
          <w:b/>
          <w:sz w:val="20"/>
          <w:szCs w:val="20"/>
          <w:lang w:val="en-AU"/>
        </w:rPr>
        <w:t>h</w:t>
      </w:r>
      <w:r w:rsidRPr="00E16AC6">
        <w:rPr>
          <w:rFonts w:ascii="Calibri" w:hAnsi="Calibri" w:cs="Calibri"/>
          <w:b/>
          <w:sz w:val="20"/>
          <w:szCs w:val="20"/>
          <w:lang w:val="en-AU"/>
        </w:rPr>
        <w:t xml:space="preserve">eart </w:t>
      </w:r>
      <w:r>
        <w:rPr>
          <w:rFonts w:ascii="Calibri" w:hAnsi="Calibri" w:cs="Calibri"/>
          <w:b/>
          <w:sz w:val="20"/>
          <w:szCs w:val="20"/>
          <w:lang w:val="en-AU"/>
        </w:rPr>
        <w:t>f</w:t>
      </w:r>
      <w:r w:rsidRPr="00E16AC6">
        <w:rPr>
          <w:rFonts w:ascii="Calibri" w:hAnsi="Calibri" w:cs="Calibri"/>
          <w:b/>
          <w:sz w:val="20"/>
          <w:szCs w:val="20"/>
          <w:lang w:val="en-AU"/>
        </w:rPr>
        <w:t xml:space="preserve">ailure </w:t>
      </w:r>
      <w:r>
        <w:rPr>
          <w:rFonts w:ascii="Calibri" w:hAnsi="Calibri" w:cs="Calibri"/>
          <w:b/>
          <w:sz w:val="20"/>
          <w:szCs w:val="20"/>
          <w:lang w:val="en-AU"/>
        </w:rPr>
        <w:t>v</w:t>
      </w:r>
      <w:r w:rsidRPr="00E16AC6">
        <w:rPr>
          <w:rFonts w:ascii="Calibri" w:hAnsi="Calibri" w:cs="Calibri"/>
          <w:b/>
          <w:sz w:val="20"/>
          <w:szCs w:val="20"/>
          <w:lang w:val="en-AU"/>
        </w:rPr>
        <w:t xml:space="preserve">irtual </w:t>
      </w:r>
      <w:r>
        <w:rPr>
          <w:rFonts w:ascii="Calibri" w:hAnsi="Calibri" w:cs="Calibri"/>
          <w:b/>
          <w:sz w:val="20"/>
          <w:szCs w:val="20"/>
          <w:lang w:val="en-AU"/>
        </w:rPr>
        <w:t>w</w:t>
      </w:r>
      <w:r w:rsidRPr="00E16AC6">
        <w:rPr>
          <w:rFonts w:ascii="Calibri" w:hAnsi="Calibri" w:cs="Calibri"/>
          <w:b/>
          <w:sz w:val="20"/>
          <w:szCs w:val="20"/>
          <w:lang w:val="en-AU"/>
        </w:rPr>
        <w:t xml:space="preserve">ards: a </w:t>
      </w:r>
      <w:r>
        <w:rPr>
          <w:rFonts w:ascii="Calibri" w:hAnsi="Calibri" w:cs="Calibri"/>
          <w:b/>
          <w:sz w:val="20"/>
          <w:szCs w:val="20"/>
          <w:lang w:val="en-AU"/>
        </w:rPr>
        <w:t>q</w:t>
      </w:r>
      <w:r w:rsidRPr="00E16AC6">
        <w:rPr>
          <w:rFonts w:ascii="Calibri" w:hAnsi="Calibri" w:cs="Calibri"/>
          <w:b/>
          <w:sz w:val="20"/>
          <w:szCs w:val="20"/>
          <w:lang w:val="en-AU"/>
        </w:rPr>
        <w:t xml:space="preserve">ualitative </w:t>
      </w:r>
      <w:r>
        <w:rPr>
          <w:rFonts w:ascii="Calibri" w:hAnsi="Calibri" w:cs="Calibri"/>
          <w:b/>
          <w:sz w:val="20"/>
          <w:szCs w:val="20"/>
          <w:lang w:val="en-AU"/>
        </w:rPr>
        <w:t>s</w:t>
      </w:r>
      <w:r w:rsidRPr="00E16AC6">
        <w:rPr>
          <w:rFonts w:ascii="Calibri" w:hAnsi="Calibri" w:cs="Calibri"/>
          <w:b/>
          <w:sz w:val="20"/>
          <w:szCs w:val="20"/>
          <w:lang w:val="en-AU"/>
        </w:rPr>
        <w:t>tudy</w:t>
      </w:r>
    </w:p>
    <w:p w14:paraId="1FBD56F8" w14:textId="044389D0" w:rsidR="00711813" w:rsidRPr="004E5450" w:rsidRDefault="00E16AC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Ali A Hosin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James Gamble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James Fullerton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>, Erin Hannink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E16AC6">
        <w:rPr>
          <w:rFonts w:ascii="Calibri" w:hAnsi="Calibri" w:cs="Calibri"/>
          <w:sz w:val="20"/>
          <w:szCs w:val="20"/>
          <w:lang w:val="en-AU"/>
        </w:rPr>
        <w:t>Nuffield Department of Orthopaedics, Rheumatology &amp; Musculoskeletal Science, University of Oxford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E16AC6">
        <w:rPr>
          <w:rFonts w:ascii="Calibri" w:hAnsi="Calibri" w:cs="Calibri"/>
          <w:sz w:val="20"/>
          <w:szCs w:val="20"/>
          <w:lang w:val="en-AU"/>
        </w:rPr>
        <w:t>, UK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E16AC6">
        <w:rPr>
          <w:rFonts w:ascii="Calibri" w:hAnsi="Calibri" w:cs="Calibri"/>
          <w:sz w:val="20"/>
          <w:szCs w:val="20"/>
          <w:lang w:val="en-AU"/>
        </w:rPr>
        <w:t>Oxford University Hospitals NHS Foundation Trust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E16AC6">
        <w:rPr>
          <w:rFonts w:ascii="Calibri" w:hAnsi="Calibri" w:cs="Calibri"/>
          <w:sz w:val="20"/>
          <w:szCs w:val="20"/>
          <w:lang w:val="en-AU"/>
        </w:rPr>
        <w:t>, Oxford, UK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DBE1A4C" w14:textId="63A51843" w:rsidR="00711813" w:rsidRPr="008B4BDB" w:rsidRDefault="00711813" w:rsidP="00711813">
      <w:pPr>
        <w:pStyle w:val="Default"/>
        <w:jc w:val="both"/>
        <w:rPr>
          <w:iCs/>
          <w:color w:val="auto"/>
          <w:sz w:val="16"/>
          <w:szCs w:val="16"/>
          <w:lang w:val="en-AU"/>
        </w:rPr>
      </w:pPr>
    </w:p>
    <w:p w14:paraId="4103A3E9" w14:textId="6BB9DD3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47FFB">
        <w:rPr>
          <w:rFonts w:ascii="Calibri" w:hAnsi="Calibri" w:cs="Calibri"/>
          <w:sz w:val="20"/>
          <w:szCs w:val="20"/>
          <w:lang w:val="en-AU"/>
        </w:rPr>
        <w:t>Introduction</w:t>
      </w:r>
      <w:r w:rsidR="00E16AC6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="00E16AC6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925" w:rsidRPr="00643925">
        <w:rPr>
          <w:rFonts w:ascii="Calibri" w:hAnsi="Calibri" w:cs="Calibri"/>
          <w:sz w:val="20"/>
          <w:szCs w:val="20"/>
          <w:lang w:val="en-AU"/>
        </w:rPr>
        <w:t xml:space="preserve">Heart Failure Virtual Wards (HF VWs) are expanding across the </w:t>
      </w:r>
      <w:r w:rsidR="00643925" w:rsidRPr="007F2BCC">
        <w:rPr>
          <w:rFonts w:ascii="Calibri" w:hAnsi="Calibri" w:cs="Calibri"/>
          <w:sz w:val="20"/>
          <w:szCs w:val="20"/>
          <w:lang w:val="en-AU"/>
        </w:rPr>
        <w:t>UK</w:t>
      </w:r>
      <w:r w:rsidR="00643925" w:rsidRPr="00726768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643925" w:rsidRPr="007F2BCC">
        <w:rPr>
          <w:rFonts w:ascii="Calibri" w:hAnsi="Calibri" w:cs="Calibri"/>
          <w:sz w:val="20"/>
          <w:szCs w:val="20"/>
          <w:lang w:val="en-AU"/>
        </w:rPr>
        <w:t xml:space="preserve"> to deliver</w:t>
      </w:r>
      <w:r w:rsidR="00643925" w:rsidRPr="00643925">
        <w:rPr>
          <w:rFonts w:ascii="Calibri" w:hAnsi="Calibri" w:cs="Calibri"/>
          <w:sz w:val="20"/>
          <w:szCs w:val="20"/>
          <w:lang w:val="en-AU"/>
        </w:rPr>
        <w:t xml:space="preserve"> hospital-level care at home, including high-risk therapies such as intravenous diuretics. Evidence on medicines safety in this model remains limited.</w:t>
      </w:r>
      <w:r w:rsidR="0064392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3B3F45E" w14:textId="24BD1D8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47FFB">
        <w:rPr>
          <w:rFonts w:ascii="Calibri" w:hAnsi="Calibri" w:cs="Calibri"/>
          <w:sz w:val="20"/>
          <w:szCs w:val="20"/>
          <w:lang w:val="en-AU"/>
        </w:rPr>
        <w:t>Aims</w:t>
      </w:r>
      <w:r w:rsidR="00E16AC6">
        <w:rPr>
          <w:rFonts w:ascii="Calibri" w:hAnsi="Calibri" w:cs="Calibri"/>
          <w:sz w:val="20"/>
          <w:szCs w:val="20"/>
          <w:lang w:val="en-AU"/>
        </w:rPr>
        <w:t>:</w:t>
      </w:r>
      <w:r w:rsidR="00E16AC6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>To explore healthcare professionals’ experiences of medication</w:t>
      </w:r>
      <w:r w:rsidR="00E16AC6" w:rsidRPr="00E16AC6">
        <w:rPr>
          <w:rFonts w:ascii="Cambria Math" w:hAnsi="Cambria Math" w:cs="Cambria Math"/>
          <w:sz w:val="20"/>
          <w:szCs w:val="20"/>
          <w:lang w:val="en-AU"/>
        </w:rPr>
        <w:t>‑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>related processes and risks in HF VWs.</w:t>
      </w:r>
    </w:p>
    <w:p w14:paraId="69B28201" w14:textId="1C5C9990" w:rsidR="00711813" w:rsidRPr="004E5450" w:rsidRDefault="006F6B8A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noProof/>
          <w:sz w:val="20"/>
          <w:szCs w:val="20"/>
          <w:lang w:val="en-AU"/>
        </w:rPr>
        <w:drawing>
          <wp:anchor distT="0" distB="0" distL="114300" distR="114300" simplePos="0" relativeHeight="251664384" behindDoc="1" locked="0" layoutInCell="1" allowOverlap="1" wp14:anchorId="17F349ED" wp14:editId="4B6DBC98">
            <wp:simplePos x="0" y="0"/>
            <wp:positionH relativeFrom="column">
              <wp:posOffset>4930096</wp:posOffset>
            </wp:positionH>
            <wp:positionV relativeFrom="paragraph">
              <wp:posOffset>202565</wp:posOffset>
            </wp:positionV>
            <wp:extent cx="1426845" cy="1485900"/>
            <wp:effectExtent l="0" t="0" r="0" b="0"/>
            <wp:wrapTight wrapText="bothSides">
              <wp:wrapPolygon edited="0">
                <wp:start x="10574" y="0"/>
                <wp:lineTo x="9228" y="185"/>
                <wp:lineTo x="5768" y="2400"/>
                <wp:lineTo x="4230" y="3138"/>
                <wp:lineTo x="1346" y="5169"/>
                <wp:lineTo x="1346" y="5908"/>
                <wp:lineTo x="0" y="8862"/>
                <wp:lineTo x="0" y="11446"/>
                <wp:lineTo x="192" y="11815"/>
                <wp:lineTo x="961" y="11815"/>
                <wp:lineTo x="1730" y="14769"/>
                <wp:lineTo x="961" y="15508"/>
                <wp:lineTo x="961" y="18092"/>
                <wp:lineTo x="6921" y="20862"/>
                <wp:lineTo x="9613" y="21415"/>
                <wp:lineTo x="11920" y="21415"/>
                <wp:lineTo x="14611" y="20862"/>
                <wp:lineTo x="21148" y="17723"/>
                <wp:lineTo x="21148" y="8677"/>
                <wp:lineTo x="20379" y="6462"/>
                <wp:lineTo x="19995" y="5723"/>
                <wp:lineTo x="17111" y="2585"/>
                <wp:lineTo x="13266" y="185"/>
                <wp:lineTo x="11920" y="0"/>
                <wp:lineTo x="10574" y="0"/>
              </wp:wrapPolygon>
            </wp:wrapTight>
            <wp:docPr id="480979230" name="Picture 4" descr="A diagram of a health car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79230" name="Picture 4" descr="A diagram of a health care system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2" t="15369" r="14941" b="1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A47FFB">
        <w:rPr>
          <w:rFonts w:ascii="Calibri" w:hAnsi="Calibri" w:cs="Calibri"/>
          <w:sz w:val="20"/>
          <w:szCs w:val="20"/>
          <w:lang w:val="en-AU"/>
        </w:rPr>
        <w:t>Methods</w:t>
      </w:r>
      <w:r w:rsidR="00E16AC6">
        <w:rPr>
          <w:rFonts w:ascii="Calibri" w:hAnsi="Calibri" w:cs="Calibri"/>
          <w:sz w:val="20"/>
          <w:szCs w:val="20"/>
          <w:lang w:val="en-AU"/>
        </w:rPr>
        <w:t>:</w:t>
      </w:r>
      <w:r w:rsidR="00E16AC6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6AC6">
        <w:rPr>
          <w:rFonts w:ascii="Calibri" w:hAnsi="Calibri" w:cs="Calibri"/>
          <w:sz w:val="20"/>
          <w:szCs w:val="20"/>
          <w:lang w:val="en-AU"/>
        </w:rPr>
        <w:t>S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>emi</w:t>
      </w:r>
      <w:r w:rsidR="00E16AC6" w:rsidRPr="00E16AC6">
        <w:rPr>
          <w:rFonts w:ascii="Cambria Math" w:hAnsi="Cambria Math" w:cs="Cambria Math"/>
          <w:sz w:val="20"/>
          <w:szCs w:val="20"/>
          <w:lang w:val="en-AU"/>
        </w:rPr>
        <w:t>‑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structured interviews </w:t>
      </w:r>
      <w:r w:rsidR="00643925">
        <w:rPr>
          <w:rFonts w:ascii="Calibri" w:hAnsi="Calibri" w:cs="Calibri"/>
          <w:sz w:val="20"/>
          <w:szCs w:val="20"/>
          <w:lang w:val="en-AU"/>
        </w:rPr>
        <w:t xml:space="preserve">were conducted 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>with 15 healthcare professionals working in HF VWs across the UK and Ireland. Interviews were transcribed verbatim</w:t>
      </w:r>
      <w:r w:rsidR="00643925">
        <w:rPr>
          <w:rFonts w:ascii="Calibri" w:hAnsi="Calibri" w:cs="Calibri"/>
          <w:sz w:val="20"/>
          <w:szCs w:val="20"/>
          <w:lang w:val="en-AU"/>
        </w:rPr>
        <w:t xml:space="preserve"> and analysed using 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reflexive thematic </w:t>
      </w:r>
      <w:r w:rsidR="00E16AC6" w:rsidRPr="007F2BCC">
        <w:rPr>
          <w:rFonts w:ascii="Calibri" w:hAnsi="Calibri" w:cs="Calibri"/>
          <w:sz w:val="20"/>
          <w:szCs w:val="20"/>
          <w:lang w:val="en-AU"/>
        </w:rPr>
        <w:t>analysis</w:t>
      </w:r>
      <w:r w:rsidR="00E05580">
        <w:rPr>
          <w:rFonts w:ascii="Calibri" w:hAnsi="Calibri" w:cs="Calibri"/>
          <w:sz w:val="20"/>
          <w:szCs w:val="20"/>
          <w:lang w:val="en-AU"/>
        </w:rPr>
        <w:t>.</w:t>
      </w:r>
      <w:r w:rsidR="00945E48" w:rsidRPr="00726768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977288A" w14:textId="195D2DD1" w:rsidR="00E16AC6" w:rsidRPr="00E16AC6" w:rsidRDefault="00711813" w:rsidP="00E16AC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47FFB">
        <w:rPr>
          <w:rFonts w:ascii="Calibri" w:hAnsi="Calibri" w:cs="Calibri"/>
          <w:sz w:val="20"/>
          <w:szCs w:val="20"/>
          <w:lang w:val="en-AU"/>
        </w:rPr>
        <w:t>Results</w:t>
      </w:r>
      <w:r w:rsidR="00E16AC6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="00E16AC6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43925">
        <w:rPr>
          <w:rFonts w:ascii="Calibri" w:hAnsi="Calibri" w:cs="Calibri"/>
          <w:sz w:val="20"/>
          <w:szCs w:val="20"/>
          <w:lang w:val="en-AU"/>
        </w:rPr>
        <w:t>Six</w:t>
      </w:r>
      <w:r w:rsidR="00643925" w:rsidRPr="00E16AC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>medicines safety-related themes were developed:</w:t>
      </w:r>
    </w:p>
    <w:p w14:paraId="7B5B228D" w14:textId="746AC5A9" w:rsidR="00E16AC6" w:rsidRPr="00E16AC6" w:rsidRDefault="00E16AC6" w:rsidP="008B4BDB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0"/>
          <w:szCs w:val="20"/>
          <w:lang w:val="en-AU"/>
        </w:rPr>
      </w:pPr>
      <w:r w:rsidRPr="00E16AC6">
        <w:rPr>
          <w:rFonts w:ascii="Calibri" w:hAnsi="Calibri" w:cs="Calibri"/>
          <w:sz w:val="20"/>
          <w:szCs w:val="20"/>
          <w:lang w:val="en-AU"/>
        </w:rPr>
        <w:t>The dilemma of governance and accountability: unclear risk ownership across organisations and concerns about remote decision-making.</w:t>
      </w:r>
    </w:p>
    <w:p w14:paraId="7249750E" w14:textId="58A37DCC" w:rsidR="00E16AC6" w:rsidRPr="00E16AC6" w:rsidRDefault="00E16AC6" w:rsidP="008B4BDB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0"/>
          <w:szCs w:val="20"/>
          <w:lang w:val="en-AU"/>
        </w:rPr>
      </w:pPr>
      <w:r w:rsidRPr="00E16AC6">
        <w:rPr>
          <w:rFonts w:ascii="Calibri" w:hAnsi="Calibri" w:cs="Calibri"/>
          <w:sz w:val="20"/>
          <w:szCs w:val="20"/>
          <w:lang w:val="en-AU"/>
        </w:rPr>
        <w:t xml:space="preserve">Rapid optimisation needs the right tools: </w:t>
      </w:r>
      <w:r w:rsidR="00643925">
        <w:rPr>
          <w:rFonts w:ascii="Calibri" w:hAnsi="Calibri" w:cs="Calibri"/>
          <w:sz w:val="20"/>
          <w:szCs w:val="20"/>
          <w:lang w:val="en-AU"/>
        </w:rPr>
        <w:t>s</w:t>
      </w:r>
      <w:r w:rsidRPr="00E16AC6">
        <w:rPr>
          <w:rFonts w:ascii="Calibri" w:hAnsi="Calibri" w:cs="Calibri"/>
          <w:sz w:val="20"/>
          <w:szCs w:val="20"/>
          <w:lang w:val="en-AU"/>
        </w:rPr>
        <w:t>pecialist-led, rapid medication titration depended on reliable monitoring equipment and clear escalation thresholds.</w:t>
      </w:r>
    </w:p>
    <w:p w14:paraId="071C8144" w14:textId="24BA352F" w:rsidR="00E16AC6" w:rsidRPr="00E16AC6" w:rsidRDefault="00E16AC6" w:rsidP="008B4BDB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0"/>
          <w:szCs w:val="20"/>
          <w:lang w:val="en-AU"/>
        </w:rPr>
      </w:pPr>
      <w:r w:rsidRPr="00E16AC6">
        <w:rPr>
          <w:rFonts w:ascii="Calibri" w:hAnsi="Calibri" w:cs="Calibri"/>
          <w:sz w:val="20"/>
          <w:szCs w:val="20"/>
          <w:lang w:val="en-AU"/>
        </w:rPr>
        <w:t xml:space="preserve">Safety bottlenecks: </w:t>
      </w:r>
      <w:r w:rsidR="00643925">
        <w:rPr>
          <w:rFonts w:ascii="Calibri" w:hAnsi="Calibri" w:cs="Calibri"/>
          <w:sz w:val="20"/>
          <w:szCs w:val="20"/>
          <w:lang w:val="en-AU"/>
        </w:rPr>
        <w:t>d</w:t>
      </w:r>
      <w:r w:rsidRPr="00E16AC6">
        <w:rPr>
          <w:rFonts w:ascii="Calibri" w:hAnsi="Calibri" w:cs="Calibri"/>
          <w:sz w:val="20"/>
          <w:szCs w:val="20"/>
          <w:lang w:val="en-AU"/>
        </w:rPr>
        <w:t xml:space="preserve">elayed blood results and limited access to point-of-care testing </w:t>
      </w:r>
      <w:r w:rsidR="007C3AD5">
        <w:rPr>
          <w:rFonts w:ascii="Calibri" w:hAnsi="Calibri" w:cs="Calibri"/>
          <w:sz w:val="20"/>
          <w:szCs w:val="20"/>
          <w:lang w:val="en-AU"/>
        </w:rPr>
        <w:t xml:space="preserve">(POCT) </w:t>
      </w:r>
      <w:r w:rsidRPr="00E16AC6">
        <w:rPr>
          <w:rFonts w:ascii="Calibri" w:hAnsi="Calibri" w:cs="Calibri"/>
          <w:sz w:val="20"/>
          <w:szCs w:val="20"/>
          <w:lang w:val="en-AU"/>
        </w:rPr>
        <w:t>reduced confidence in VW safety.</w:t>
      </w:r>
    </w:p>
    <w:p w14:paraId="6B97C5D2" w14:textId="6FA34A20" w:rsidR="00E16AC6" w:rsidRPr="00E16AC6" w:rsidRDefault="007F2BCC" w:rsidP="008B4BDB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T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>he handover gap: Shared record</w:t>
      </w:r>
      <w:r w:rsidR="00643925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mitigated risk, but IT </w:t>
      </w:r>
      <w:r>
        <w:rPr>
          <w:rFonts w:ascii="Calibri" w:hAnsi="Calibri" w:cs="Calibri"/>
          <w:sz w:val="20"/>
          <w:szCs w:val="20"/>
          <w:lang w:val="en-AU"/>
        </w:rPr>
        <w:t>problems</w:t>
      </w:r>
      <w:r w:rsidRPr="00E16AC6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impacted </w:t>
      </w:r>
      <w:r w:rsidR="00643925">
        <w:rPr>
          <w:rFonts w:ascii="Calibri" w:hAnsi="Calibri" w:cs="Calibri"/>
          <w:sz w:val="20"/>
          <w:szCs w:val="20"/>
          <w:lang w:val="en-AU"/>
        </w:rPr>
        <w:t>continuity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>.</w:t>
      </w:r>
    </w:p>
    <w:p w14:paraId="388D0B5E" w14:textId="24432FC6" w:rsidR="00E16AC6" w:rsidRPr="00E16AC6" w:rsidRDefault="00E16AC6" w:rsidP="008B4BDB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0"/>
          <w:szCs w:val="20"/>
          <w:lang w:val="en-AU"/>
        </w:rPr>
      </w:pPr>
      <w:r w:rsidRPr="00E16AC6">
        <w:rPr>
          <w:rFonts w:ascii="Calibri" w:hAnsi="Calibri" w:cs="Calibri"/>
          <w:sz w:val="20"/>
          <w:szCs w:val="20"/>
          <w:lang w:val="en-AU"/>
        </w:rPr>
        <w:t>Medicines supply concerns: delays</w:t>
      </w:r>
      <w:r w:rsidR="00643925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E16AC6">
        <w:rPr>
          <w:rFonts w:ascii="Calibri" w:hAnsi="Calibri" w:cs="Calibri"/>
          <w:sz w:val="20"/>
          <w:szCs w:val="20"/>
          <w:lang w:val="en-AU"/>
        </w:rPr>
        <w:t xml:space="preserve">between prescribing </w:t>
      </w:r>
      <w:r w:rsidR="00643925">
        <w:rPr>
          <w:rFonts w:ascii="Calibri" w:hAnsi="Calibri" w:cs="Calibri"/>
          <w:sz w:val="20"/>
          <w:szCs w:val="20"/>
          <w:lang w:val="en-AU"/>
        </w:rPr>
        <w:t xml:space="preserve">decisions </w:t>
      </w:r>
      <w:r w:rsidRPr="00E16AC6">
        <w:rPr>
          <w:rFonts w:ascii="Calibri" w:hAnsi="Calibri" w:cs="Calibri"/>
          <w:sz w:val="20"/>
          <w:szCs w:val="20"/>
          <w:lang w:val="en-AU"/>
        </w:rPr>
        <w:t>and medicines reaching home.</w:t>
      </w:r>
    </w:p>
    <w:p w14:paraId="003241A0" w14:textId="444CBF28" w:rsidR="00711813" w:rsidRPr="004E5450" w:rsidRDefault="00E16AC6" w:rsidP="008B4BDB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0"/>
          <w:szCs w:val="20"/>
          <w:lang w:val="en-AU"/>
        </w:rPr>
      </w:pPr>
      <w:r w:rsidRPr="00E16AC6">
        <w:rPr>
          <w:rFonts w:ascii="Calibri" w:hAnsi="Calibri" w:cs="Calibri"/>
          <w:sz w:val="20"/>
          <w:szCs w:val="20"/>
          <w:lang w:val="en-AU"/>
        </w:rPr>
        <w:t>Uncertainty of home-based administration: challenges in confirming correct administration at home (dose/time taken, documentation) and reliance on carers.</w:t>
      </w:r>
    </w:p>
    <w:p w14:paraId="02754063" w14:textId="0DF7D491" w:rsidR="00A47FFB" w:rsidRDefault="00711813" w:rsidP="008B4BD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47FFB">
        <w:rPr>
          <w:rFonts w:ascii="Calibri" w:hAnsi="Calibri" w:cs="Calibri"/>
          <w:sz w:val="20"/>
          <w:szCs w:val="20"/>
          <w:lang w:val="en-AU"/>
        </w:rPr>
        <w:t>Discussion</w:t>
      </w:r>
      <w:r w:rsidR="00A47FFB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="00A47FFB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8409B">
        <w:rPr>
          <w:rFonts w:ascii="Calibri" w:hAnsi="Calibri" w:cs="Calibri"/>
          <w:sz w:val="20"/>
          <w:szCs w:val="20"/>
          <w:lang w:val="en-AU"/>
        </w:rPr>
        <w:t>M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edicines safety in HF VWs </w:t>
      </w:r>
      <w:r w:rsidR="0008409B">
        <w:rPr>
          <w:rFonts w:ascii="Calibri" w:hAnsi="Calibri" w:cs="Calibri"/>
          <w:sz w:val="20"/>
          <w:szCs w:val="20"/>
          <w:lang w:val="en-AU"/>
        </w:rPr>
        <w:t>reflects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 a tension between rapid specialist-led optimisation and reduced control </w:t>
      </w:r>
      <w:r w:rsidR="0008409B">
        <w:rPr>
          <w:rFonts w:ascii="Calibri" w:hAnsi="Calibri" w:cs="Calibri"/>
          <w:sz w:val="20"/>
          <w:szCs w:val="20"/>
          <w:lang w:val="en-AU"/>
        </w:rPr>
        <w:t>in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8409B">
        <w:rPr>
          <w:rFonts w:ascii="Calibri" w:hAnsi="Calibri" w:cs="Calibri"/>
          <w:sz w:val="20"/>
          <w:szCs w:val="20"/>
          <w:lang w:val="en-AU"/>
        </w:rPr>
        <w:t>home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-based care. </w:t>
      </w:r>
      <w:r w:rsidR="0008409B">
        <w:rPr>
          <w:rFonts w:ascii="Calibri" w:hAnsi="Calibri" w:cs="Calibri"/>
          <w:sz w:val="20"/>
          <w:szCs w:val="20"/>
          <w:lang w:val="en-AU"/>
        </w:rPr>
        <w:t>Participants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 described </w:t>
      </w:r>
      <w:r w:rsidR="0008409B" w:rsidRPr="0008409B">
        <w:rPr>
          <w:rFonts w:ascii="Calibri" w:hAnsi="Calibri" w:cs="Calibri"/>
          <w:sz w:val="20"/>
          <w:szCs w:val="20"/>
          <w:lang w:val="en-AU"/>
        </w:rPr>
        <w:t>variable governance, monitoring limitations, supply delays and documentation ambiguity across sites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>.</w:t>
      </w:r>
      <w:r w:rsidR="0008409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8409B" w:rsidRPr="0008409B">
        <w:rPr>
          <w:rFonts w:ascii="Calibri" w:hAnsi="Calibri" w:cs="Calibri"/>
          <w:sz w:val="20"/>
          <w:szCs w:val="20"/>
          <w:lang w:val="en-AU"/>
        </w:rPr>
        <w:t>Strengthened accountability structures, interoperable records, reliable supply pathways and access to POCT may improve safety. Further work is needed to quantify medication-related harms in HF VWs</w:t>
      </w:r>
      <w:r w:rsidR="00726768">
        <w:rPr>
          <w:rFonts w:ascii="Calibri" w:hAnsi="Calibri" w:cs="Calibri"/>
          <w:sz w:val="20"/>
          <w:szCs w:val="20"/>
          <w:lang w:val="en-AU"/>
        </w:rPr>
        <w:t>, which may be achieved</w:t>
      </w:r>
      <w:r w:rsidR="0008409B" w:rsidRPr="0008409B">
        <w:rPr>
          <w:rFonts w:ascii="Calibri" w:hAnsi="Calibri" w:cs="Calibri"/>
          <w:sz w:val="20"/>
          <w:szCs w:val="20"/>
          <w:lang w:val="en-AU"/>
        </w:rPr>
        <w:t xml:space="preserve"> using electronic health records and safety reporting data</w:t>
      </w:r>
      <w:r w:rsidR="00E16AC6" w:rsidRPr="00E16AC6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8ED9AFD" w14:textId="77777777" w:rsidR="00726768" w:rsidRPr="00726768" w:rsidRDefault="00726768" w:rsidP="008B4BDB">
      <w:pPr>
        <w:jc w:val="both"/>
        <w:rPr>
          <w:rFonts w:ascii="Calibri" w:hAnsi="Calibri" w:cs="Calibri"/>
          <w:sz w:val="2"/>
          <w:szCs w:val="2"/>
          <w:lang w:val="en-AU"/>
        </w:rPr>
      </w:pPr>
    </w:p>
    <w:p w14:paraId="6EB44152" w14:textId="77777777" w:rsidR="007F2BCC" w:rsidRDefault="007F2BCC" w:rsidP="007F2BCC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5901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8F0D19">
        <w:rPr>
          <w:rFonts w:ascii="Calibri" w:hAnsi="Calibri" w:cs="Calibri"/>
          <w:sz w:val="20"/>
          <w:szCs w:val="20"/>
          <w:lang w:val="en-AU"/>
        </w:rPr>
        <w:t>Department of Health and Social Care (2025) Fit for the future: 10 Year Health Plan for England</w:t>
      </w:r>
    </w:p>
    <w:p w14:paraId="743BA895" w14:textId="2ED4307B" w:rsidR="007F2BCC" w:rsidRPr="004E5450" w:rsidRDefault="007F2BCC" w:rsidP="008B4BD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5901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8F0D19">
        <w:rPr>
          <w:rFonts w:ascii="Calibri" w:hAnsi="Calibri" w:cs="Calibri"/>
          <w:sz w:val="20"/>
          <w:szCs w:val="20"/>
          <w:lang w:val="en-AU"/>
        </w:rPr>
        <w:t>Braun and Clark</w:t>
      </w:r>
      <w:r>
        <w:rPr>
          <w:rFonts w:ascii="Calibri" w:hAnsi="Calibri" w:cs="Calibri"/>
          <w:sz w:val="20"/>
          <w:szCs w:val="20"/>
          <w:lang w:val="en-AU"/>
        </w:rPr>
        <w:t>e</w:t>
      </w:r>
      <w:r w:rsidRPr="008F0D19">
        <w:rPr>
          <w:rFonts w:ascii="Calibri" w:hAnsi="Calibri" w:cs="Calibri"/>
          <w:sz w:val="20"/>
          <w:szCs w:val="20"/>
          <w:lang w:val="en-AU"/>
        </w:rPr>
        <w:t xml:space="preserve"> (2006) ‘Using thematic analysis in psychology’, Qualitative Research in Psychology, 3(2), pp. 77–101</w:t>
      </w:r>
    </w:p>
    <w:sectPr w:rsidR="007F2BCC" w:rsidRPr="004E5450" w:rsidSect="005D1700">
      <w:footerReference w:type="default" r:id="rId11"/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17B7" w14:textId="77777777" w:rsidR="00873C68" w:rsidRDefault="00873C68" w:rsidP="0008409B">
      <w:r>
        <w:separator/>
      </w:r>
    </w:p>
  </w:endnote>
  <w:endnote w:type="continuationSeparator" w:id="0">
    <w:p w14:paraId="3EFB5441" w14:textId="77777777" w:rsidR="00873C68" w:rsidRDefault="00873C68" w:rsidP="0008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5CAD" w14:textId="5D99EA4D" w:rsidR="008B4BDB" w:rsidRPr="008B4BDB" w:rsidRDefault="008B4BDB" w:rsidP="008B4BDB">
    <w:pPr>
      <w:jc w:val="both"/>
      <w:rPr>
        <w:rFonts w:ascii="Calibri" w:hAnsi="Calibri" w:cs="Calibri"/>
        <w:sz w:val="20"/>
        <w:szCs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4EDF" w14:textId="77777777" w:rsidR="00873C68" w:rsidRDefault="00873C68" w:rsidP="0008409B">
      <w:r>
        <w:separator/>
      </w:r>
    </w:p>
  </w:footnote>
  <w:footnote w:type="continuationSeparator" w:id="0">
    <w:p w14:paraId="27453E13" w14:textId="77777777" w:rsidR="00873C68" w:rsidRDefault="00873C68" w:rsidP="0008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3024"/>
    <w:multiLevelType w:val="hybridMultilevel"/>
    <w:tmpl w:val="2242A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C014C"/>
    <w:multiLevelType w:val="hybridMultilevel"/>
    <w:tmpl w:val="662E6C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58164">
    <w:abstractNumId w:val="0"/>
  </w:num>
  <w:num w:numId="2" w16cid:durableId="175035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8409B"/>
    <w:rsid w:val="000A4FA6"/>
    <w:rsid w:val="00162256"/>
    <w:rsid w:val="0018325A"/>
    <w:rsid w:val="001D09D4"/>
    <w:rsid w:val="001F0E11"/>
    <w:rsid w:val="001F4722"/>
    <w:rsid w:val="002226BB"/>
    <w:rsid w:val="002272B0"/>
    <w:rsid w:val="00300B92"/>
    <w:rsid w:val="003238D9"/>
    <w:rsid w:val="003649B1"/>
    <w:rsid w:val="00387491"/>
    <w:rsid w:val="003E4F97"/>
    <w:rsid w:val="00444224"/>
    <w:rsid w:val="00483B05"/>
    <w:rsid w:val="004E28B9"/>
    <w:rsid w:val="004E50FC"/>
    <w:rsid w:val="004E5450"/>
    <w:rsid w:val="004F62E1"/>
    <w:rsid w:val="0059609A"/>
    <w:rsid w:val="00597659"/>
    <w:rsid w:val="005D1700"/>
    <w:rsid w:val="005E48A2"/>
    <w:rsid w:val="005E62BE"/>
    <w:rsid w:val="00625B90"/>
    <w:rsid w:val="00643925"/>
    <w:rsid w:val="00656212"/>
    <w:rsid w:val="006F6B8A"/>
    <w:rsid w:val="00710DA9"/>
    <w:rsid w:val="00711813"/>
    <w:rsid w:val="00724E3C"/>
    <w:rsid w:val="00726768"/>
    <w:rsid w:val="00743C46"/>
    <w:rsid w:val="0074536C"/>
    <w:rsid w:val="00760B17"/>
    <w:rsid w:val="007C3AD5"/>
    <w:rsid w:val="007F2BCC"/>
    <w:rsid w:val="00873C68"/>
    <w:rsid w:val="00885303"/>
    <w:rsid w:val="008909C9"/>
    <w:rsid w:val="008B4BDB"/>
    <w:rsid w:val="008F0D19"/>
    <w:rsid w:val="00945E48"/>
    <w:rsid w:val="00947B77"/>
    <w:rsid w:val="00964296"/>
    <w:rsid w:val="00977D0A"/>
    <w:rsid w:val="009E2228"/>
    <w:rsid w:val="009F06D6"/>
    <w:rsid w:val="00A266B4"/>
    <w:rsid w:val="00A47FFB"/>
    <w:rsid w:val="00A71DEF"/>
    <w:rsid w:val="00AA08BA"/>
    <w:rsid w:val="00AE2DA6"/>
    <w:rsid w:val="00BC5FCC"/>
    <w:rsid w:val="00C132EC"/>
    <w:rsid w:val="00C60A71"/>
    <w:rsid w:val="00D55F3B"/>
    <w:rsid w:val="00DA2731"/>
    <w:rsid w:val="00E05580"/>
    <w:rsid w:val="00E16AC6"/>
    <w:rsid w:val="00EF12F3"/>
    <w:rsid w:val="00F02477"/>
    <w:rsid w:val="00F90F73"/>
    <w:rsid w:val="00F97620"/>
    <w:rsid w:val="00FB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D072A"/>
  <w15:chartTrackingRefBased/>
  <w15:docId w15:val="{504500E4-FF58-2F46-8051-CBA4FA66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6AC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84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0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84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09B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47FFB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C9DB3-E07F-1D4A-B07B-EE81CCC41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323</Words>
  <Characters>2125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2431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Ali Hosin</cp:lastModifiedBy>
  <cp:revision>13</cp:revision>
  <cp:lastPrinted>2013-06-13T14:15:00Z</cp:lastPrinted>
  <dcterms:created xsi:type="dcterms:W3CDTF">2026-02-16T12:03:00Z</dcterms:created>
  <dcterms:modified xsi:type="dcterms:W3CDTF">2026-02-16T12:46:00Z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