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5F89A" w14:textId="6DA05769" w:rsidR="008F3D05" w:rsidRPr="0066061A" w:rsidRDefault="008F3D05" w:rsidP="0066061A">
      <w:pPr>
        <w:spacing w:after="0" w:line="240" w:lineRule="auto"/>
        <w:jc w:val="both"/>
        <w:rPr>
          <w:rFonts w:ascii="Arial" w:eastAsia="等线" w:hAnsi="Arial" w:cs="Arial"/>
          <w:bCs/>
          <w:color w:val="4472C4"/>
          <w:sz w:val="20"/>
          <w:szCs w:val="20"/>
          <w:lang w:val="en-US" w:eastAsia="zh-CN"/>
          <w14:ligatures w14:val="none"/>
        </w:rPr>
      </w:pPr>
      <w:r w:rsidRPr="008F3D05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A Multi-scale Prediction Model Using Machine Learning and Dynamics</w:t>
      </w:r>
      <w:r>
        <w:rPr>
          <w:rFonts w:ascii="Arial" w:eastAsia="等线" w:hAnsi="Arial" w:cs="Calibri" w:hint="eastAsia"/>
          <w:b/>
          <w:bCs/>
          <w:kern w:val="0"/>
          <w:lang w:val="en-US" w:eastAsia="zh-CN"/>
          <w14:ligatures w14:val="none"/>
        </w:rPr>
        <w:t xml:space="preserve"> </w:t>
      </w:r>
      <w:r w:rsidRPr="008F3D05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Simulation for the Selection of Transdermal Penetration Enhancers</w:t>
      </w:r>
    </w:p>
    <w:p w14:paraId="79141BD9" w14:textId="1B33B6EA" w:rsidR="00C315D2" w:rsidRPr="00C727E8" w:rsidRDefault="00DD0404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FB51CA"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>Ying Zheng</w:t>
      </w:r>
      <w:r w:rsidRPr="00FB51C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 w:rsidRPr="00FB51CA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,</w:t>
      </w:r>
      <w:proofErr w:type="gramStart"/>
      <w:r w:rsidRPr="00FB51C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2</w:t>
      </w:r>
      <w:r w:rsidRPr="00A70D9F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,*</w:t>
      </w:r>
      <w:proofErr w:type="gramEnd"/>
      <w:r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, </w:t>
      </w:r>
      <w:r w:rsidR="008F3D05" w:rsidRPr="00FB51CA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Yidan Tang</w:t>
      </w:r>
      <w:r w:rsidR="00547927" w:rsidRPr="00FB51C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 w:rsidR="008F3D05" w:rsidRPr="00FB51CA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Zheng Wu</w:t>
      </w:r>
      <w:r w:rsidR="00547927" w:rsidRPr="00FB51C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 w:rsidR="008F3D05" w:rsidRPr="00FB51CA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Jianjia Su</w:t>
      </w:r>
      <w:r w:rsidR="00547927" w:rsidRPr="00FB51C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 w:rsidR="008F3D05" w:rsidRPr="00FB51CA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Defang Ouyang</w:t>
      </w:r>
      <w:r w:rsidR="00547927" w:rsidRPr="00FB51C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 w:rsidR="008F3D05" w:rsidRPr="00FB51CA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,</w:t>
      </w:r>
      <w:proofErr w:type="gramStart"/>
      <w:r w:rsidR="00547927" w:rsidRPr="00FB51C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2</w:t>
      </w:r>
      <w:r w:rsidR="008F3D05" w:rsidRPr="00A70D9F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,*</w:t>
      </w:r>
      <w:proofErr w:type="gramEnd"/>
      <w:r w:rsidR="00C315D2" w:rsidRPr="005B50F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.</w:t>
      </w:r>
      <w:r w:rsidR="00C315D2" w:rsidRPr="00C727E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35831755" w14:textId="01C0C22A" w:rsidR="00547927" w:rsidRPr="00547927" w:rsidRDefault="00547927" w:rsidP="00547927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54792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State Key Laboratory of Quality Research in Chinese Medicine, Institute of Chinese Medical Sciences (ICMS), University of Macau</w:t>
      </w:r>
      <w:r w:rsidR="00C60D16" w:rsidRPr="005E1CE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 w:rsidRPr="0054792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Macao, China</w:t>
      </w:r>
    </w:p>
    <w:p w14:paraId="0F5A9827" w14:textId="74945A8D" w:rsidR="00547927" w:rsidRDefault="00547927" w:rsidP="00547927">
      <w:pPr>
        <w:spacing w:after="0" w:line="240" w:lineRule="auto"/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</w:pPr>
      <w:r w:rsidRPr="0054792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Faculty of Health Sciences, University of Macau</w:t>
      </w:r>
      <w:r w:rsidR="00C60D16" w:rsidRPr="005E1CEA">
        <w:rPr>
          <w:rFonts w:ascii="Arial" w:eastAsia="等线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2</w:t>
      </w:r>
      <w:r w:rsidRPr="0054792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Macao, China</w:t>
      </w:r>
    </w:p>
    <w:p w14:paraId="2DD37039" w14:textId="5E0560AC" w:rsidR="00C315D2" w:rsidRPr="00C315D2" w:rsidRDefault="00C315D2" w:rsidP="00547927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C315D2">
        <w:rPr>
          <w:rFonts w:ascii="Arial" w:eastAsia="Calibri" w:hAnsi="Arial" w:cs="Calibri"/>
          <w:bCs/>
          <w:i/>
          <w:kern w:val="0"/>
          <w:sz w:val="20"/>
          <w:szCs w:val="20"/>
          <w:lang w:val="en-US"/>
          <w14:ligatures w14:val="none"/>
        </w:rPr>
        <w:t xml:space="preserve"> </w:t>
      </w:r>
    </w:p>
    <w:p w14:paraId="2385039D" w14:textId="27BF486C" w:rsidR="00C315D2" w:rsidRPr="00C315D2" w:rsidRDefault="00B8473A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Background and aims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1C0457" w:rsidRPr="001C045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Penetration enhancers (PEs) are widely employed in transdermal drug delivery systems due to their cost-effectiveness and biocompatibility. However, two critical challenges persist: (i) high experimental costs and extended durations hinder traditional in vitro permeation tests (IVPT); (</w:t>
      </w:r>
      <w:bookmarkStart w:id="0" w:name="OLE_LINK1"/>
      <w:r w:rsidR="001C0457" w:rsidRPr="001C045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ii</w:t>
      </w:r>
      <w:bookmarkEnd w:id="0"/>
      <w:r w:rsidR="001C0457" w:rsidRPr="001C045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) existing</w:t>
      </w:r>
      <w:r w:rsidR="006915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1C0457" w:rsidRPr="001C045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quantitative structure-activity relationship (QSAR) models, predominantly constructed from limited datasets (n &lt; 500), exhibit limited predictive accuracy for comple</w:t>
      </w:r>
      <w:r w:rsidR="00691549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x</w:t>
      </w:r>
      <w:r w:rsidR="001C0457" w:rsidRPr="001C0457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"drug-PE" interactions. To address these challenges, this study proposed a multi-scale modeling strategy that integrated machine learning, experimental validation, and mechanistic explanation, aiming to establish a rapid screening platform for transdermal formulations.</w:t>
      </w:r>
    </w:p>
    <w:p w14:paraId="15D93483" w14:textId="77777777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48C0479A" w14:textId="6AF25294" w:rsidR="00C315D2" w:rsidRPr="007211F1" w:rsidRDefault="00C315D2" w:rsidP="00C315D2">
      <w:pPr>
        <w:spacing w:after="0" w:line="240" w:lineRule="auto"/>
        <w:jc w:val="both"/>
        <w:rPr>
          <w:rFonts w:ascii="Arial" w:eastAsia="等线" w:hAnsi="Arial" w:cs="Calibri"/>
          <w:bCs/>
          <w:kern w:val="0"/>
          <w:sz w:val="20"/>
          <w:szCs w:val="20"/>
          <w:lang w:eastAsia="zh-CN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Methods.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A comprehensive database of 1,022 transdermal flux records was constructed from literature. Four </w:t>
      </w:r>
      <w:r w:rsidR="00305715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machine learning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algorithms (LightGBM, RF, SVM, DNN) were evaluated, with LightGBM selected for its optimal </w:t>
      </w:r>
      <w:r w:rsidR="0042550A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predictive 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performance (R²</w:t>
      </w:r>
      <w:r w:rsidR="0042550A" w:rsidRPr="0042550A">
        <w:rPr>
          <w:rFonts w:ascii="Arial" w:eastAsia="等线" w:hAnsi="Arial" w:cs="Calibri" w:hint="eastAsia"/>
          <w:bCs/>
          <w:kern w:val="0"/>
          <w:sz w:val="20"/>
          <w:szCs w:val="20"/>
          <w:vertAlign w:val="subscript"/>
          <w:lang w:eastAsia="zh-CN"/>
          <w14:ligatures w14:val="none"/>
        </w:rPr>
        <w:t>test set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= 0.79). </w:t>
      </w:r>
      <w:r w:rsidR="004E2972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Then, f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eature importance analysis identified key factors influencing transdermal flux. Experimental validation was conducted using berberine and ferulic acid</w:t>
      </w:r>
      <w:r w:rsidR="006F70E6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with PEs (azone, menthol, </w:t>
      </w:r>
      <w:r w:rsidR="006F3BAF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and 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oleic acid). M</w:t>
      </w:r>
      <w:r w:rsidR="0010067B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olecular </w:t>
      </w:r>
      <w:proofErr w:type="gramStart"/>
      <w:r w:rsidR="0010067B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dynamics</w:t>
      </w:r>
      <w:r w:rsidR="00AB0717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(</w:t>
      </w:r>
      <w:proofErr w:type="gramEnd"/>
      <w:r w:rsidR="00AB0717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MD)</w:t>
      </w:r>
      <w:r w:rsidR="00CC2DC0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simulations elucidated mechanistic actions</w:t>
      </w:r>
      <w:r w:rsidR="007211F1">
        <w:rPr>
          <w:rFonts w:ascii="Arial" w:eastAsia="等线" w:hAnsi="Arial" w:cs="Calibri" w:hint="eastAsia"/>
          <w:bCs/>
          <w:kern w:val="0"/>
          <w:sz w:val="20"/>
          <w:szCs w:val="20"/>
          <w:lang w:eastAsia="zh-CN"/>
          <w14:ligatures w14:val="none"/>
        </w:rPr>
        <w:t>.</w:t>
      </w:r>
    </w:p>
    <w:p w14:paraId="1387B9C3" w14:textId="77777777" w:rsidR="00C315D2" w:rsidRPr="00C315D2" w:rsidRDefault="00C315D2" w:rsidP="00C315D2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lang w:val="en-GB"/>
          <w14:ligatures w14:val="none"/>
        </w:rPr>
      </w:pPr>
    </w:p>
    <w:p w14:paraId="39168393" w14:textId="27A01AD7" w:rsidR="00C26C72" w:rsidRPr="00C26C72" w:rsidRDefault="00795378" w:rsidP="00C315D2">
      <w:pPr>
        <w:spacing w:after="0" w:line="240" w:lineRule="auto"/>
        <w:jc w:val="both"/>
        <w:rPr>
          <w:rFonts w:ascii="Arial" w:eastAsia="等线" w:hAnsi="Arial" w:cs="Calibri"/>
          <w:kern w:val="0"/>
          <w:sz w:val="20"/>
          <w:szCs w:val="20"/>
          <w:lang w:val="en-US" w:eastAsia="zh-CN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Results.</w:t>
      </w:r>
      <w:r w:rsidR="00161DEA">
        <w:rPr>
          <w:rFonts w:ascii="Calibri" w:eastAsia="等线" w:hAnsi="Calibri" w:cs="Times New Roman" w:hint="eastAsia"/>
          <w:kern w:val="0"/>
          <w:lang w:val="en-GB" w:eastAsia="zh-CN"/>
          <w14:ligatures w14:val="none"/>
        </w:rPr>
        <w:t xml:space="preserve"> </w:t>
      </w:r>
      <w:r w:rsidR="00D85078">
        <w:rPr>
          <w:rFonts w:ascii="Arial" w:eastAsia="等线" w:hAnsi="Arial" w:cs="Calibri" w:hint="eastAsia"/>
          <w:kern w:val="0"/>
          <w:sz w:val="20"/>
          <w:szCs w:val="20"/>
          <w:lang w:val="en-GB" w:eastAsia="zh-CN"/>
          <w14:ligatures w14:val="none"/>
        </w:rPr>
        <w:t>F</w:t>
      </w:r>
      <w:r w:rsidR="004C6DAF" w:rsidRPr="004C6DAF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eature importance analysis demonstrated a dose-dependent correlation between PE concentration and transdermal efficiency (SHAP value &gt; 0). At the same time, the drug’s log S exhibited a biphasic effect on transdermal flux: extremely low log S values impede permeation through the hydrophilic regions of the skin barrier, whereas excessively high log S values reduce compatibility with the stratum corneum’s lipid layer.</w:t>
      </w:r>
      <w:r w:rsidR="00BB676D" w:rsidRPr="00BB676D">
        <w:t xml:space="preserve"> </w:t>
      </w:r>
      <w:r w:rsidR="00BB676D" w:rsidRPr="00BB676D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Experimental validation using </w:t>
      </w:r>
      <w:r w:rsidR="006F70E6">
        <w:rPr>
          <w:rFonts w:ascii="Arial" w:eastAsia="等线" w:hAnsi="Arial" w:cs="Calibri" w:hint="eastAsia"/>
          <w:kern w:val="0"/>
          <w:sz w:val="20"/>
          <w:szCs w:val="20"/>
          <w:lang w:val="en-US" w:eastAsia="zh-CN"/>
          <w14:ligatures w14:val="none"/>
        </w:rPr>
        <w:t>berberine</w:t>
      </w:r>
      <w:r w:rsidR="00BB676D" w:rsidRPr="00BB676D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and</w:t>
      </w:r>
      <w:r w:rsidR="006F70E6" w:rsidRPr="00CC2DC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ferulic acid</w:t>
      </w:r>
      <w:r w:rsidR="006F70E6" w:rsidRPr="00BB676D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BB676D" w:rsidRPr="00BB676D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systems confirmed model predictions, with azone showing highest efficacy for BER (ER = 3.23) and oleic acid for FA (ER = 1.79).</w:t>
      </w:r>
      <w:r w:rsidR="00AA60E0">
        <w:rPr>
          <w:rFonts w:ascii="Arial" w:eastAsia="等线" w:hAnsi="Arial" w:cs="Calibri" w:hint="eastAsia"/>
          <w:kern w:val="0"/>
          <w:sz w:val="20"/>
          <w:szCs w:val="20"/>
          <w:lang w:val="en-US" w:eastAsia="zh-CN"/>
          <w14:ligatures w14:val="none"/>
        </w:rPr>
        <w:t xml:space="preserve"> </w:t>
      </w:r>
      <w:r w:rsidR="00AB0717" w:rsidRPr="00AB0717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MD simulations highlighted distinct mechanisms: BER disrupts lipid bilayer order, while FA modulates polar headgroup interactions.</w:t>
      </w:r>
    </w:p>
    <w:p w14:paraId="7A3130FB" w14:textId="3D441900" w:rsidR="005560A2" w:rsidRPr="006B643F" w:rsidRDefault="003B657B" w:rsidP="00857600">
      <w:pPr>
        <w:spacing w:after="0" w:line="240" w:lineRule="auto"/>
        <w:jc w:val="center"/>
        <w:rPr>
          <w:rFonts w:ascii="Arial" w:eastAsia="等线" w:hAnsi="Arial" w:cs="Calibri"/>
          <w:b/>
          <w:kern w:val="0"/>
          <w:sz w:val="20"/>
          <w:szCs w:val="20"/>
          <w:lang w:val="en-US" w:eastAsia="zh-CN"/>
          <w14:ligatures w14:val="none"/>
        </w:rPr>
      </w:pPr>
      <w:r>
        <w:rPr>
          <w:rFonts w:ascii="Arial" w:eastAsia="等线" w:hAnsi="Arial" w:cs="Calibri"/>
          <w:b/>
          <w:noProof/>
          <w:kern w:val="0"/>
          <w:sz w:val="20"/>
          <w:szCs w:val="20"/>
          <w:lang w:val="en-US" w:eastAsia="zh-CN"/>
        </w:rPr>
        <w:drawing>
          <wp:inline distT="0" distB="0" distL="0" distR="0" wp14:anchorId="787FDE5A" wp14:editId="45FC8900">
            <wp:extent cx="4506685" cy="2534947"/>
            <wp:effectExtent l="0" t="0" r="8255" b="0"/>
            <wp:docPr id="1753415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15332" name="图片 17534153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69" cy="25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5223" w14:textId="6E322722" w:rsidR="002601A2" w:rsidRDefault="002F3326" w:rsidP="002F3326">
      <w:pPr>
        <w:pStyle w:val="af2"/>
        <w:rPr>
          <w:b/>
          <w:bCs/>
          <w:lang w:eastAsia="zh-CN"/>
        </w:rPr>
      </w:pPr>
      <w:r w:rsidRPr="002F3326">
        <w:rPr>
          <w:b/>
          <w:bCs/>
        </w:rPr>
        <w:t xml:space="preserve">Figure </w:t>
      </w:r>
      <w:r w:rsidRPr="002F3326">
        <w:rPr>
          <w:b/>
          <w:bCs/>
        </w:rPr>
        <w:fldChar w:fldCharType="begin"/>
      </w:r>
      <w:r w:rsidRPr="002F3326">
        <w:rPr>
          <w:b/>
          <w:bCs/>
        </w:rPr>
        <w:instrText xml:space="preserve"> SEQ Figure \* ARABIC </w:instrText>
      </w:r>
      <w:r w:rsidRPr="002F3326">
        <w:rPr>
          <w:b/>
          <w:bCs/>
        </w:rPr>
        <w:fldChar w:fldCharType="separate"/>
      </w:r>
      <w:r w:rsidRPr="002F3326">
        <w:rPr>
          <w:b/>
          <w:bCs/>
          <w:noProof/>
        </w:rPr>
        <w:t>1</w:t>
      </w:r>
      <w:r w:rsidRPr="002F3326">
        <w:rPr>
          <w:b/>
          <w:bCs/>
        </w:rPr>
        <w:fldChar w:fldCharType="end"/>
      </w:r>
      <w:r>
        <w:rPr>
          <w:rFonts w:hint="eastAsia"/>
          <w:lang w:eastAsia="zh-CN"/>
        </w:rPr>
        <w:t xml:space="preserve">. </w:t>
      </w:r>
      <w:r w:rsidRPr="00391C5A">
        <w:rPr>
          <w:rFonts w:hint="eastAsia"/>
          <w:lang w:eastAsia="zh-CN"/>
        </w:rPr>
        <w:t xml:space="preserve">The graphic </w:t>
      </w:r>
      <w:r w:rsidRPr="00391C5A">
        <w:rPr>
          <w:lang w:eastAsia="zh-CN"/>
        </w:rPr>
        <w:t>abstract</w:t>
      </w:r>
      <w:r w:rsidRPr="00391C5A">
        <w:rPr>
          <w:rFonts w:hint="eastAsia"/>
          <w:lang w:eastAsia="zh-CN"/>
        </w:rPr>
        <w:t>.</w:t>
      </w:r>
    </w:p>
    <w:p w14:paraId="4834CC92" w14:textId="0AE94CD8" w:rsidR="008C087A" w:rsidRPr="002601A2" w:rsidRDefault="00B8473A" w:rsidP="0004140C">
      <w:pPr>
        <w:pStyle w:val="af2"/>
        <w:jc w:val="both"/>
        <w:rPr>
          <w:rFonts w:ascii="Arial" w:eastAsia="等线" w:hAnsi="Arial" w:cs="Calibri"/>
          <w:b/>
          <w:bCs/>
          <w:kern w:val="0"/>
          <w:lang w:eastAsia="zh-CN"/>
          <w14:ligatures w14:val="none"/>
        </w:rPr>
      </w:pPr>
      <w:r>
        <w:rPr>
          <w:rFonts w:ascii="Arial" w:eastAsia="Calibri" w:hAnsi="Arial" w:cs="Calibri"/>
          <w:b/>
          <w:kern w:val="0"/>
          <w14:ligatures w14:val="none"/>
        </w:rPr>
        <w:t>Conclusion</w:t>
      </w:r>
      <w:r w:rsidR="00C315D2" w:rsidRPr="00C315D2">
        <w:rPr>
          <w:rFonts w:ascii="Arial" w:eastAsia="Calibri" w:hAnsi="Arial" w:cs="Calibri"/>
          <w:b/>
          <w:kern w:val="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14:ligatures w14:val="none"/>
        </w:rPr>
        <w:t xml:space="preserve"> 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 xml:space="preserve">This study successfully integrated machine learning with molecular dynamics to </w:t>
      </w:r>
      <w:r w:rsidR="00680DFD">
        <w:rPr>
          <w:rFonts w:ascii="Arial" w:eastAsia="Calibri" w:hAnsi="Arial" w:cs="Calibri"/>
          <w:bCs/>
          <w:kern w:val="0"/>
          <w:lang w:val="en-US"/>
          <w14:ligatures w14:val="none"/>
        </w:rPr>
        <w:t>select penetration enhancers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 xml:space="preserve"> for transdermal formulation design. The approach addressed critical limitations of traditional methods by: (</w:t>
      </w:r>
      <w:r w:rsidR="0065689D" w:rsidRPr="001C0457">
        <w:rPr>
          <w:rFonts w:ascii="Arial" w:eastAsia="Calibri" w:hAnsi="Arial" w:cs="Calibri"/>
          <w:bCs/>
          <w:kern w:val="0"/>
          <w14:ligatures w14:val="none"/>
        </w:rPr>
        <w:t>i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 xml:space="preserve">) </w:t>
      </w:r>
      <w:r w:rsidR="006D1BDF">
        <w:rPr>
          <w:rFonts w:ascii="Arial" w:eastAsia="等线" w:hAnsi="Arial" w:cs="Calibri" w:hint="eastAsia"/>
          <w:bCs/>
          <w:kern w:val="0"/>
          <w:lang w:val="en-US" w:eastAsia="zh-CN"/>
          <w14:ligatures w14:val="none"/>
        </w:rPr>
        <w:t>e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>stablishing a robust database of drug-PE pairs; (</w:t>
      </w:r>
      <w:r w:rsidR="0065689D" w:rsidRPr="001C0457">
        <w:rPr>
          <w:rFonts w:ascii="Arial" w:eastAsia="Calibri" w:hAnsi="Arial" w:cs="Calibri"/>
          <w:bCs/>
          <w:kern w:val="0"/>
          <w14:ligatures w14:val="none"/>
        </w:rPr>
        <w:t>ii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 xml:space="preserve">) </w:t>
      </w:r>
      <w:r w:rsidR="006D1BDF">
        <w:rPr>
          <w:rFonts w:ascii="Arial" w:eastAsia="等线" w:hAnsi="Arial" w:cs="Calibri" w:hint="eastAsia"/>
          <w:bCs/>
          <w:kern w:val="0"/>
          <w:lang w:val="en-US" w:eastAsia="zh-CN"/>
          <w14:ligatures w14:val="none"/>
        </w:rPr>
        <w:t>i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>dentifying key molecular determinants of transdermal flux; (</w:t>
      </w:r>
      <w:r w:rsidR="0065689D" w:rsidRPr="001C0457">
        <w:rPr>
          <w:rFonts w:ascii="Arial" w:eastAsia="Calibri" w:hAnsi="Arial" w:cs="Calibri"/>
          <w:bCs/>
          <w:kern w:val="0"/>
          <w14:ligatures w14:val="none"/>
        </w:rPr>
        <w:t>iii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 xml:space="preserve">) </w:t>
      </w:r>
      <w:r w:rsidR="006D1BDF">
        <w:rPr>
          <w:rFonts w:ascii="Arial" w:eastAsia="等线" w:hAnsi="Arial" w:cs="Calibri" w:hint="eastAsia"/>
          <w:bCs/>
          <w:kern w:val="0"/>
          <w:lang w:val="en-US" w:eastAsia="zh-CN"/>
          <w14:ligatures w14:val="none"/>
        </w:rPr>
        <w:t>p</w:t>
      </w:r>
      <w:r w:rsidR="00600984" w:rsidRPr="00600984">
        <w:rPr>
          <w:rFonts w:ascii="Arial" w:eastAsia="Calibri" w:hAnsi="Arial" w:cs="Calibri"/>
          <w:bCs/>
          <w:kern w:val="0"/>
          <w:lang w:val="en-US"/>
          <w14:ligatures w14:val="none"/>
        </w:rPr>
        <w:t>roviding mechanistic explanations through MD simulations.</w:t>
      </w:r>
    </w:p>
    <w:p w14:paraId="71D205B6" w14:textId="46E2A4B9" w:rsidR="00C26C72" w:rsidRPr="0066577F" w:rsidRDefault="00BC2A67" w:rsidP="0066577F">
      <w:pPr>
        <w:spacing w:after="0" w:line="240" w:lineRule="auto"/>
        <w:jc w:val="both"/>
        <w:rPr>
          <w:rFonts w:ascii="Arial" w:eastAsia="等线" w:hAnsi="Arial" w:cs="Calibri" w:hint="eastAsia"/>
          <w:bCs/>
          <w:kern w:val="0"/>
          <w:sz w:val="20"/>
          <w:szCs w:val="20"/>
          <w:lang w:val="en-US" w:eastAsia="zh-CN"/>
          <w14:ligatures w14:val="none"/>
        </w:rPr>
      </w:pPr>
      <w:r w:rsidRPr="000170D2">
        <w:rPr>
          <w:rFonts w:ascii="Arial" w:eastAsia="等线" w:hAnsi="Arial" w:cs="Calibri"/>
          <w:b/>
          <w:kern w:val="0"/>
          <w:sz w:val="20"/>
          <w:szCs w:val="20"/>
          <w:lang w:val="en-US" w:eastAsia="zh-CN"/>
          <w14:ligatures w14:val="none"/>
        </w:rPr>
        <w:t>Acknowledgements</w:t>
      </w:r>
      <w:r w:rsidR="000170D2" w:rsidRPr="000170D2">
        <w:rPr>
          <w:rFonts w:ascii="Arial" w:eastAsia="等线" w:hAnsi="Arial" w:cs="Calibri" w:hint="eastAsia"/>
          <w:b/>
          <w:kern w:val="0"/>
          <w:sz w:val="20"/>
          <w:szCs w:val="20"/>
          <w:lang w:val="en-US" w:eastAsia="zh-CN"/>
          <w14:ligatures w14:val="none"/>
        </w:rPr>
        <w:t xml:space="preserve">. </w:t>
      </w:r>
      <w:r w:rsidR="009A1731" w:rsidRPr="009A1731">
        <w:rPr>
          <w:rFonts w:ascii="Arial" w:eastAsia="等线" w:hAnsi="Arial" w:cs="Calibri"/>
          <w:bCs/>
          <w:kern w:val="0"/>
          <w:sz w:val="20"/>
          <w:szCs w:val="20"/>
          <w:lang w:val="en-US" w:eastAsia="zh-CN"/>
          <w14:ligatures w14:val="none"/>
        </w:rPr>
        <w:t>This work was supported by research grants from the Macau Science and Technology Development Fund (</w:t>
      </w:r>
      <w:r w:rsidR="00B036B9" w:rsidRPr="00B036B9">
        <w:rPr>
          <w:rFonts w:ascii="Arial" w:eastAsia="等线" w:hAnsi="Arial" w:cs="Calibri"/>
          <w:bCs/>
          <w:kern w:val="0"/>
          <w:sz w:val="20"/>
          <w:szCs w:val="20"/>
          <w:lang w:val="en-US" w:eastAsia="zh-CN"/>
          <w14:ligatures w14:val="none"/>
        </w:rPr>
        <w:t>0076/2023/RIB3</w:t>
      </w:r>
      <w:r w:rsidR="009A1731" w:rsidRPr="009A1731">
        <w:rPr>
          <w:rFonts w:ascii="Arial" w:eastAsia="等线" w:hAnsi="Arial" w:cs="Calibri"/>
          <w:bCs/>
          <w:kern w:val="0"/>
          <w:sz w:val="20"/>
          <w:szCs w:val="20"/>
          <w:lang w:val="en-US" w:eastAsia="zh-CN"/>
          <w14:ligatures w14:val="none"/>
        </w:rPr>
        <w:t>)</w:t>
      </w:r>
      <w:r w:rsidR="0066577F">
        <w:rPr>
          <w:rFonts w:ascii="Arial" w:eastAsia="等线" w:hAnsi="Arial" w:cs="Calibri" w:hint="eastAsia"/>
          <w:bCs/>
          <w:kern w:val="0"/>
          <w:sz w:val="20"/>
          <w:szCs w:val="20"/>
          <w:lang w:val="en-US" w:eastAsia="zh-CN"/>
          <w14:ligatures w14:val="none"/>
        </w:rPr>
        <w:t xml:space="preserve"> and the </w:t>
      </w:r>
      <w:r w:rsidR="0066577F" w:rsidRPr="0066577F">
        <w:rPr>
          <w:rFonts w:ascii="Arial" w:eastAsia="等线" w:hAnsi="Arial" w:cs="Calibri"/>
          <w:bCs/>
          <w:kern w:val="0"/>
          <w:sz w:val="20"/>
          <w:szCs w:val="20"/>
          <w:lang w:val="en-US" w:eastAsia="zh-CN"/>
          <w14:ligatures w14:val="none"/>
        </w:rPr>
        <w:t>University</w:t>
      </w:r>
      <w:r w:rsidR="0066577F">
        <w:rPr>
          <w:rFonts w:ascii="Arial" w:eastAsia="等线" w:hAnsi="Arial" w:cs="Calibri" w:hint="eastAsia"/>
          <w:bCs/>
          <w:kern w:val="0"/>
          <w:sz w:val="20"/>
          <w:szCs w:val="20"/>
          <w:lang w:val="en-US" w:eastAsia="zh-CN"/>
          <w14:ligatures w14:val="none"/>
        </w:rPr>
        <w:t xml:space="preserve"> </w:t>
      </w:r>
      <w:r w:rsidR="0066577F" w:rsidRPr="0066577F">
        <w:rPr>
          <w:rFonts w:ascii="Arial" w:eastAsia="等线" w:hAnsi="Arial" w:cs="Calibri"/>
          <w:bCs/>
          <w:kern w:val="0"/>
          <w:sz w:val="20"/>
          <w:szCs w:val="20"/>
          <w:lang w:val="en-US" w:eastAsia="zh-CN"/>
          <w14:ligatures w14:val="none"/>
        </w:rPr>
        <w:t>of Macau grants</w:t>
      </w:r>
      <w:r w:rsidR="0066577F">
        <w:rPr>
          <w:rFonts w:ascii="Arial" w:eastAsia="等线" w:hAnsi="Arial" w:cs="Calibri" w:hint="eastAsia"/>
          <w:bCs/>
          <w:kern w:val="0"/>
          <w:sz w:val="20"/>
          <w:szCs w:val="20"/>
          <w:lang w:val="en-US" w:eastAsia="zh-CN"/>
          <w14:ligatures w14:val="none"/>
        </w:rPr>
        <w:t xml:space="preserve"> (</w:t>
      </w:r>
      <w:r w:rsidR="0066577F" w:rsidRPr="0066577F">
        <w:rPr>
          <w:rFonts w:ascii="Arial" w:eastAsia="等线" w:hAnsi="Arial" w:cs="Calibri"/>
          <w:bCs/>
          <w:kern w:val="0"/>
          <w:sz w:val="20"/>
          <w:szCs w:val="20"/>
          <w:lang w:val="en-US" w:eastAsia="zh-CN"/>
          <w14:ligatures w14:val="none"/>
        </w:rPr>
        <w:t>MYRG-GRG2023-00159-ICMS-UMDF</w:t>
      </w:r>
      <w:r w:rsidR="0066577F">
        <w:rPr>
          <w:rFonts w:ascii="Arial" w:eastAsia="等线" w:hAnsi="Arial" w:cs="Calibri" w:hint="eastAsia"/>
          <w:bCs/>
          <w:kern w:val="0"/>
          <w:sz w:val="20"/>
          <w:szCs w:val="20"/>
          <w:lang w:val="en-US" w:eastAsia="zh-CN"/>
          <w14:ligatures w14:val="none"/>
        </w:rPr>
        <w:t xml:space="preserve">). </w:t>
      </w:r>
    </w:p>
    <w:sectPr w:rsidR="00C26C72" w:rsidRPr="00665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1998D" w14:textId="77777777" w:rsidR="00787F4D" w:rsidRDefault="00787F4D" w:rsidP="00F666C0">
      <w:pPr>
        <w:spacing w:after="0" w:line="240" w:lineRule="auto"/>
      </w:pPr>
      <w:r>
        <w:separator/>
      </w:r>
    </w:p>
  </w:endnote>
  <w:endnote w:type="continuationSeparator" w:id="0">
    <w:p w14:paraId="7FB9ACC8" w14:textId="77777777" w:rsidR="00787F4D" w:rsidRDefault="00787F4D" w:rsidP="00F6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74BA0" w14:textId="77777777" w:rsidR="00787F4D" w:rsidRDefault="00787F4D" w:rsidP="00F666C0">
      <w:pPr>
        <w:spacing w:after="0" w:line="240" w:lineRule="auto"/>
      </w:pPr>
      <w:r>
        <w:separator/>
      </w:r>
    </w:p>
  </w:footnote>
  <w:footnote w:type="continuationSeparator" w:id="0">
    <w:p w14:paraId="1F31786C" w14:textId="77777777" w:rsidR="00787F4D" w:rsidRDefault="00787F4D" w:rsidP="00F6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EF20A8"/>
    <w:multiLevelType w:val="hybridMultilevel"/>
    <w:tmpl w:val="403E06E4"/>
    <w:lvl w:ilvl="0" w:tplc="7570BF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7795CCE"/>
    <w:multiLevelType w:val="hybridMultilevel"/>
    <w:tmpl w:val="06A68968"/>
    <w:lvl w:ilvl="0" w:tplc="54F48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139452">
    <w:abstractNumId w:val="1"/>
  </w:num>
  <w:num w:numId="2" w16cid:durableId="2034066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D2"/>
    <w:rsid w:val="00010DD8"/>
    <w:rsid w:val="000170D2"/>
    <w:rsid w:val="00022C3A"/>
    <w:rsid w:val="000233A7"/>
    <w:rsid w:val="0004140C"/>
    <w:rsid w:val="00065FFF"/>
    <w:rsid w:val="00087275"/>
    <w:rsid w:val="0010067B"/>
    <w:rsid w:val="00107368"/>
    <w:rsid w:val="00113BB7"/>
    <w:rsid w:val="00161DEA"/>
    <w:rsid w:val="001B5650"/>
    <w:rsid w:val="001C0457"/>
    <w:rsid w:val="001D51FF"/>
    <w:rsid w:val="001E54A7"/>
    <w:rsid w:val="002017E6"/>
    <w:rsid w:val="00234DD7"/>
    <w:rsid w:val="002601A2"/>
    <w:rsid w:val="00294059"/>
    <w:rsid w:val="002E2D6A"/>
    <w:rsid w:val="002F3326"/>
    <w:rsid w:val="00305715"/>
    <w:rsid w:val="003206E4"/>
    <w:rsid w:val="00372B56"/>
    <w:rsid w:val="00387DB8"/>
    <w:rsid w:val="00391C5A"/>
    <w:rsid w:val="003A6D5C"/>
    <w:rsid w:val="003B657B"/>
    <w:rsid w:val="003E1B3F"/>
    <w:rsid w:val="003F5C4A"/>
    <w:rsid w:val="00411884"/>
    <w:rsid w:val="0042550A"/>
    <w:rsid w:val="00436EB1"/>
    <w:rsid w:val="004665AC"/>
    <w:rsid w:val="004A51B6"/>
    <w:rsid w:val="004C6DAF"/>
    <w:rsid w:val="004D38D2"/>
    <w:rsid w:val="004D70F0"/>
    <w:rsid w:val="004E2972"/>
    <w:rsid w:val="004F5D6F"/>
    <w:rsid w:val="00510CF8"/>
    <w:rsid w:val="00530E42"/>
    <w:rsid w:val="00547927"/>
    <w:rsid w:val="005502FA"/>
    <w:rsid w:val="005560A2"/>
    <w:rsid w:val="00560CA1"/>
    <w:rsid w:val="00572AB1"/>
    <w:rsid w:val="00575A29"/>
    <w:rsid w:val="005B50F3"/>
    <w:rsid w:val="005B7243"/>
    <w:rsid w:val="005E1CEA"/>
    <w:rsid w:val="00600984"/>
    <w:rsid w:val="00601754"/>
    <w:rsid w:val="00617210"/>
    <w:rsid w:val="0062524A"/>
    <w:rsid w:val="0064588C"/>
    <w:rsid w:val="00654B1F"/>
    <w:rsid w:val="0065689D"/>
    <w:rsid w:val="0066061A"/>
    <w:rsid w:val="0066577F"/>
    <w:rsid w:val="006805BA"/>
    <w:rsid w:val="00680DFD"/>
    <w:rsid w:val="00682E03"/>
    <w:rsid w:val="00691549"/>
    <w:rsid w:val="00697164"/>
    <w:rsid w:val="006A34BE"/>
    <w:rsid w:val="006B643F"/>
    <w:rsid w:val="006D1BDF"/>
    <w:rsid w:val="006F3BAF"/>
    <w:rsid w:val="006F3F1C"/>
    <w:rsid w:val="006F70E6"/>
    <w:rsid w:val="007141F2"/>
    <w:rsid w:val="007211F1"/>
    <w:rsid w:val="00725610"/>
    <w:rsid w:val="007422E7"/>
    <w:rsid w:val="00746ABC"/>
    <w:rsid w:val="007561D8"/>
    <w:rsid w:val="007711E0"/>
    <w:rsid w:val="00776C97"/>
    <w:rsid w:val="00787F4D"/>
    <w:rsid w:val="00795378"/>
    <w:rsid w:val="00796206"/>
    <w:rsid w:val="007C367E"/>
    <w:rsid w:val="007C54F7"/>
    <w:rsid w:val="008071C5"/>
    <w:rsid w:val="00845AAE"/>
    <w:rsid w:val="00857600"/>
    <w:rsid w:val="00870F70"/>
    <w:rsid w:val="00885BDF"/>
    <w:rsid w:val="00886ABA"/>
    <w:rsid w:val="008C087A"/>
    <w:rsid w:val="008E77D0"/>
    <w:rsid w:val="008F3D05"/>
    <w:rsid w:val="00906D34"/>
    <w:rsid w:val="00923E06"/>
    <w:rsid w:val="00933DC9"/>
    <w:rsid w:val="00936D4C"/>
    <w:rsid w:val="009523F9"/>
    <w:rsid w:val="00962592"/>
    <w:rsid w:val="009650DF"/>
    <w:rsid w:val="00985C5A"/>
    <w:rsid w:val="009A1731"/>
    <w:rsid w:val="009B1CBB"/>
    <w:rsid w:val="009E346C"/>
    <w:rsid w:val="009F4F46"/>
    <w:rsid w:val="00A0516D"/>
    <w:rsid w:val="00A05813"/>
    <w:rsid w:val="00A266A3"/>
    <w:rsid w:val="00A70D9F"/>
    <w:rsid w:val="00A75671"/>
    <w:rsid w:val="00AA60E0"/>
    <w:rsid w:val="00AB0717"/>
    <w:rsid w:val="00AF7C1E"/>
    <w:rsid w:val="00B036B9"/>
    <w:rsid w:val="00B4721D"/>
    <w:rsid w:val="00B8473A"/>
    <w:rsid w:val="00B96F1D"/>
    <w:rsid w:val="00BB676D"/>
    <w:rsid w:val="00BC2A67"/>
    <w:rsid w:val="00BE62DB"/>
    <w:rsid w:val="00BF401C"/>
    <w:rsid w:val="00C05C5A"/>
    <w:rsid w:val="00C072F2"/>
    <w:rsid w:val="00C21815"/>
    <w:rsid w:val="00C26C72"/>
    <w:rsid w:val="00C315D2"/>
    <w:rsid w:val="00C353D8"/>
    <w:rsid w:val="00C374B8"/>
    <w:rsid w:val="00C53206"/>
    <w:rsid w:val="00C60D16"/>
    <w:rsid w:val="00C727E8"/>
    <w:rsid w:val="00CA2131"/>
    <w:rsid w:val="00CB3705"/>
    <w:rsid w:val="00CC2DC0"/>
    <w:rsid w:val="00CC7DF6"/>
    <w:rsid w:val="00CD3DC9"/>
    <w:rsid w:val="00CD7B02"/>
    <w:rsid w:val="00CF5A91"/>
    <w:rsid w:val="00D02BB1"/>
    <w:rsid w:val="00D40685"/>
    <w:rsid w:val="00D45A74"/>
    <w:rsid w:val="00D7428F"/>
    <w:rsid w:val="00D74C3C"/>
    <w:rsid w:val="00D85078"/>
    <w:rsid w:val="00D963A2"/>
    <w:rsid w:val="00DC0B2F"/>
    <w:rsid w:val="00DD0404"/>
    <w:rsid w:val="00E33D90"/>
    <w:rsid w:val="00E43DBC"/>
    <w:rsid w:val="00E5189A"/>
    <w:rsid w:val="00E53263"/>
    <w:rsid w:val="00E56C06"/>
    <w:rsid w:val="00E77910"/>
    <w:rsid w:val="00EC3746"/>
    <w:rsid w:val="00F539FB"/>
    <w:rsid w:val="00F666C0"/>
    <w:rsid w:val="00F7457E"/>
    <w:rsid w:val="00F85528"/>
    <w:rsid w:val="00F86FAF"/>
    <w:rsid w:val="00FB0C24"/>
    <w:rsid w:val="00FB51CA"/>
    <w:rsid w:val="00FD71DF"/>
    <w:rsid w:val="2021B9E9"/>
    <w:rsid w:val="4FE71DF4"/>
    <w:rsid w:val="5E2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9E18DD"/>
  <w15:chartTrackingRefBased/>
  <w15:docId w15:val="{68CD8C6C-48B5-45FC-AC27-B37918D8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宋体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1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1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1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1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1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1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1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1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C31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31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315D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C315D2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C315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C315D2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315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C315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1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31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1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31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1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315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15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15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1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315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315D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666C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666C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666C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666C0"/>
    <w:rPr>
      <w:sz w:val="18"/>
      <w:szCs w:val="18"/>
    </w:rPr>
  </w:style>
  <w:style w:type="paragraph" w:styleId="af2">
    <w:name w:val="caption"/>
    <w:basedOn w:val="a"/>
    <w:next w:val="a"/>
    <w:uiPriority w:val="35"/>
    <w:unhideWhenUsed/>
    <w:qFormat/>
    <w:rsid w:val="008C087A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A3A71-59EB-4D37-B60C-752E21A3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0FB8FF-F624-4CD8-B1B7-331FFFAAAFAC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3.xml><?xml version="1.0" encoding="utf-8"?>
<ds:datastoreItem xmlns:ds="http://schemas.openxmlformats.org/officeDocument/2006/customXml" ds:itemID="{31DDCDBB-A434-4396-8F0D-5A6A543FC4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EBC81C-2A23-40B4-B7A1-1D9E6A478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407</Words>
  <Characters>2710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Phan</dc:creator>
  <cp:keywords/>
  <dc:description/>
  <cp:lastModifiedBy>Yulu Liu</cp:lastModifiedBy>
  <cp:revision>4</cp:revision>
  <dcterms:created xsi:type="dcterms:W3CDTF">2025-05-06T13:24:00Z</dcterms:created>
  <dcterms:modified xsi:type="dcterms:W3CDTF">2025-05-09T08:30:00Z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</Properties>
</file>