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14E75" w14:textId="52DD7BCD" w:rsidR="008C49FB" w:rsidRPr="008C49FB" w:rsidRDefault="008C49FB" w:rsidP="008C49FB">
      <w:pPr>
        <w:jc w:val="center"/>
        <w:rPr>
          <w:rFonts w:asciiTheme="minorHAnsi" w:hAnsiTheme="minorHAnsi" w:cstheme="minorHAnsi"/>
        </w:rPr>
      </w:pPr>
      <w:r w:rsidRPr="008C49FB">
        <w:rPr>
          <w:rFonts w:asciiTheme="minorHAnsi" w:hAnsiTheme="minorHAnsi" w:cstheme="minorHAnsi"/>
          <w:b/>
          <w:bCs/>
          <w:lang w:val="de-DE"/>
        </w:rPr>
        <w:t>Introduction of trace La in to lithium</w:t>
      </w:r>
      <w:r w:rsidR="002E7C87">
        <w:rPr>
          <w:rFonts w:asciiTheme="minorHAnsi" w:hAnsiTheme="minorHAnsi" w:cstheme="minorHAnsi" w:hint="eastAsia"/>
          <w:b/>
          <w:bCs/>
          <w:lang w:val="de-DE" w:eastAsia="zh-CN"/>
        </w:rPr>
        <w:t>-</w:t>
      </w:r>
      <w:r w:rsidRPr="008C49FB">
        <w:rPr>
          <w:rFonts w:asciiTheme="minorHAnsi" w:hAnsiTheme="minorHAnsi" w:cstheme="minorHAnsi"/>
          <w:b/>
          <w:bCs/>
          <w:lang w:val="de-DE"/>
        </w:rPr>
        <w:t xml:space="preserve">rich </w:t>
      </w:r>
      <w:r w:rsidR="002E7C87">
        <w:rPr>
          <w:rFonts w:asciiTheme="minorHAnsi" w:hAnsiTheme="minorHAnsi" w:cstheme="minorHAnsi" w:hint="eastAsia"/>
          <w:b/>
          <w:bCs/>
          <w:lang w:val="de-DE" w:eastAsia="zh-CN"/>
        </w:rPr>
        <w:t>cat</w:t>
      </w:r>
      <w:r w:rsidR="002E7C87">
        <w:rPr>
          <w:rFonts w:asciiTheme="minorHAnsi" w:hAnsiTheme="minorHAnsi" w:cstheme="minorHAnsi"/>
          <w:b/>
          <w:bCs/>
          <w:lang w:val="de-DE"/>
        </w:rPr>
        <w:t xml:space="preserve">hode </w:t>
      </w:r>
      <w:bookmarkStart w:id="0" w:name="_GoBack"/>
      <w:bookmarkEnd w:id="0"/>
      <w:r w:rsidRPr="008C49FB">
        <w:rPr>
          <w:rFonts w:asciiTheme="minorHAnsi" w:hAnsiTheme="minorHAnsi" w:cstheme="minorHAnsi"/>
          <w:b/>
          <w:bCs/>
          <w:lang w:val="de-DE"/>
        </w:rPr>
        <w:t>materials towards long-cycling stability</w:t>
      </w:r>
    </w:p>
    <w:p w14:paraId="7AFBD470" w14:textId="37B1F880" w:rsidR="008C49FB" w:rsidRPr="008C49FB" w:rsidRDefault="008C49FB" w:rsidP="008C49FB">
      <w:pPr>
        <w:jc w:val="center"/>
        <w:rPr>
          <w:rFonts w:asciiTheme="minorHAnsi" w:hAnsiTheme="minorHAnsi" w:cstheme="minorHAnsi"/>
        </w:rPr>
      </w:pPr>
      <w:r w:rsidRPr="008C49FB">
        <w:rPr>
          <w:rFonts w:asciiTheme="minorHAnsi" w:hAnsiTheme="minorHAnsi" w:cstheme="minorHAnsi"/>
          <w:u w:val="single"/>
        </w:rPr>
        <w:t>Xiaobo Zhu</w:t>
      </w:r>
      <w:r w:rsidRPr="008C49FB">
        <w:rPr>
          <w:rFonts w:asciiTheme="minorHAnsi" w:hAnsiTheme="minorHAnsi" w:cstheme="minorHAnsi"/>
        </w:rPr>
        <w:t>, Lianzhou Wang</w:t>
      </w:r>
    </w:p>
    <w:p w14:paraId="075E5F0C" w14:textId="77777777" w:rsidR="008C49FB" w:rsidRPr="008C49FB" w:rsidRDefault="008C49FB" w:rsidP="00C01271">
      <w:pPr>
        <w:jc w:val="center"/>
        <w:rPr>
          <w:rFonts w:asciiTheme="minorHAnsi" w:hAnsiTheme="minorHAnsi" w:cstheme="minorHAnsi"/>
        </w:rPr>
      </w:pPr>
      <w:r w:rsidRPr="008C49FB">
        <w:rPr>
          <w:rFonts w:asciiTheme="minorHAnsi" w:hAnsiTheme="minorHAnsi" w:cstheme="minorHAnsi"/>
        </w:rPr>
        <w:t>Nanomaterials Centre, School of Chemical Engineering and Australian Institute for Bioengineering and Nanotechnology, The University of Queensland, QLD 4072, Australia</w:t>
      </w:r>
    </w:p>
    <w:p w14:paraId="484BCAD9" w14:textId="77777777" w:rsidR="008C49FB" w:rsidRPr="008C49FB" w:rsidRDefault="008C49FB" w:rsidP="008C49FB">
      <w:pPr>
        <w:jc w:val="both"/>
        <w:rPr>
          <w:rFonts w:asciiTheme="minorHAnsi" w:hAnsiTheme="minorHAnsi" w:cstheme="minorHAnsi"/>
          <w:b/>
          <w:bCs/>
        </w:rPr>
      </w:pPr>
      <w:r w:rsidRPr="008C49FB">
        <w:rPr>
          <w:rFonts w:asciiTheme="minorHAnsi" w:hAnsiTheme="minorHAnsi" w:cstheme="minorHAnsi"/>
          <w:b/>
          <w:bCs/>
        </w:rPr>
        <w:t>1. Introduction</w:t>
      </w:r>
    </w:p>
    <w:p w14:paraId="1EB1B609" w14:textId="77777777" w:rsidR="008C49FB" w:rsidRPr="008C49FB" w:rsidRDefault="008C49FB" w:rsidP="008C49FB">
      <w:pPr>
        <w:jc w:val="both"/>
        <w:rPr>
          <w:rFonts w:asciiTheme="minorHAnsi" w:eastAsia="PMingLiU" w:hAnsiTheme="minorHAnsi" w:cstheme="minorHAnsi"/>
          <w:lang w:eastAsia="zh-TW"/>
        </w:rPr>
      </w:pPr>
      <w:r w:rsidRPr="008C49FB">
        <w:rPr>
          <w:rFonts w:asciiTheme="minorHAnsi" w:eastAsia="PMingLiU" w:hAnsiTheme="minorHAnsi" w:cstheme="minorHAnsi"/>
          <w:lang w:eastAsia="zh-TW"/>
        </w:rPr>
        <w:t>Lithium ion batteries (LIBs) have received worldwide attention as power sources for electric vehicles (EVs) and portable energy storage. In the current market, the specific capacities of the benchmark cathode materials such as LiCoO</w:t>
      </w:r>
      <w:r w:rsidRPr="008C49FB">
        <w:rPr>
          <w:rFonts w:asciiTheme="minorHAnsi" w:eastAsia="PMingLiU" w:hAnsiTheme="minorHAnsi" w:cstheme="minorHAnsi"/>
          <w:vertAlign w:val="subscript"/>
          <w:lang w:eastAsia="zh-TW"/>
        </w:rPr>
        <w:t>2</w:t>
      </w:r>
      <w:r w:rsidRPr="008C49FB">
        <w:rPr>
          <w:rFonts w:asciiTheme="minorHAnsi" w:eastAsia="PMingLiU" w:hAnsiTheme="minorHAnsi" w:cstheme="minorHAnsi"/>
          <w:lang w:eastAsia="zh-TW"/>
        </w:rPr>
        <w:t>, LiFePO</w:t>
      </w:r>
      <w:r w:rsidRPr="008C49FB">
        <w:rPr>
          <w:rFonts w:asciiTheme="minorHAnsi" w:eastAsia="PMingLiU" w:hAnsiTheme="minorHAnsi" w:cstheme="minorHAnsi"/>
          <w:vertAlign w:val="subscript"/>
          <w:lang w:eastAsia="zh-TW"/>
        </w:rPr>
        <w:t>4</w:t>
      </w:r>
      <w:r w:rsidRPr="008C49FB">
        <w:rPr>
          <w:rFonts w:asciiTheme="minorHAnsi" w:eastAsia="PMingLiU" w:hAnsiTheme="minorHAnsi" w:cstheme="minorHAnsi"/>
          <w:lang w:eastAsia="zh-TW"/>
        </w:rPr>
        <w:t xml:space="preserve"> and LiMn</w:t>
      </w:r>
      <w:r w:rsidRPr="008C49FB">
        <w:rPr>
          <w:rFonts w:asciiTheme="minorHAnsi" w:eastAsia="PMingLiU" w:hAnsiTheme="minorHAnsi" w:cstheme="minorHAnsi"/>
          <w:vertAlign w:val="subscript"/>
          <w:lang w:eastAsia="zh-TW"/>
        </w:rPr>
        <w:t>2</w:t>
      </w:r>
      <w:r w:rsidRPr="008C49FB">
        <w:rPr>
          <w:rFonts w:asciiTheme="minorHAnsi" w:eastAsia="PMingLiU" w:hAnsiTheme="minorHAnsi" w:cstheme="minorHAnsi"/>
          <w:lang w:eastAsia="zh-TW"/>
        </w:rPr>
        <w:t>O</w:t>
      </w:r>
      <w:r w:rsidRPr="008C49FB">
        <w:rPr>
          <w:rFonts w:asciiTheme="minorHAnsi" w:eastAsia="PMingLiU" w:hAnsiTheme="minorHAnsi" w:cstheme="minorHAnsi"/>
          <w:vertAlign w:val="subscript"/>
          <w:lang w:eastAsia="zh-TW"/>
        </w:rPr>
        <w:t>4</w:t>
      </w:r>
      <w:r w:rsidRPr="008C49FB">
        <w:rPr>
          <w:rFonts w:asciiTheme="minorHAnsi" w:eastAsia="PMingLiU" w:hAnsiTheme="minorHAnsi" w:cstheme="minorHAnsi"/>
          <w:lang w:eastAsia="zh-TW"/>
        </w:rPr>
        <w:t xml:space="preserve"> are around 150 </w:t>
      </w:r>
      <w:proofErr w:type="spellStart"/>
      <w:r w:rsidRPr="008C49FB">
        <w:rPr>
          <w:rFonts w:asciiTheme="minorHAnsi" w:eastAsia="PMingLiU" w:hAnsiTheme="minorHAnsi" w:cstheme="minorHAnsi"/>
          <w:lang w:eastAsia="zh-TW"/>
        </w:rPr>
        <w:t>mAh</w:t>
      </w:r>
      <w:proofErr w:type="spellEnd"/>
      <w:r w:rsidRPr="008C49FB">
        <w:rPr>
          <w:rFonts w:asciiTheme="minorHAnsi" w:eastAsia="PMingLiU" w:hAnsiTheme="minorHAnsi" w:cstheme="minorHAnsi"/>
          <w:lang w:eastAsia="zh-TW"/>
        </w:rPr>
        <w:t>/g or less, which however almost reach their theoretical capacity.</w:t>
      </w:r>
      <w:r w:rsidRPr="008C49FB">
        <w:rPr>
          <w:rFonts w:asciiTheme="minorHAnsi" w:eastAsia="PMingLiU" w:hAnsiTheme="minorHAnsi" w:cstheme="minorHAnsi"/>
          <w:vertAlign w:val="superscript"/>
          <w:lang w:eastAsia="zh-TW"/>
        </w:rPr>
        <w:t>1</w:t>
      </w:r>
      <w:r w:rsidRPr="008C49FB">
        <w:rPr>
          <w:rFonts w:asciiTheme="minorHAnsi" w:eastAsia="PMingLiU" w:hAnsiTheme="minorHAnsi" w:cstheme="minorHAnsi"/>
          <w:lang w:eastAsia="zh-TW"/>
        </w:rPr>
        <w:t xml:space="preserve"> As a result, it is essential to explore new types of cathode material with higher theoretical capacity to satisfy the requirements of EVs and home energy storage battery (HESB). Among the reported new cathode materials, LRCMs have attracted increasing attention due to their extraordinary high specific capacity both theoretically (&gt;300 </w:t>
      </w:r>
      <w:proofErr w:type="spellStart"/>
      <w:r w:rsidRPr="008C49FB">
        <w:rPr>
          <w:rFonts w:asciiTheme="minorHAnsi" w:eastAsia="PMingLiU" w:hAnsiTheme="minorHAnsi" w:cstheme="minorHAnsi"/>
          <w:lang w:eastAsia="zh-TW"/>
        </w:rPr>
        <w:t>mAh</w:t>
      </w:r>
      <w:proofErr w:type="spellEnd"/>
      <w:r w:rsidRPr="008C49FB">
        <w:rPr>
          <w:rFonts w:asciiTheme="minorHAnsi" w:eastAsia="PMingLiU" w:hAnsiTheme="minorHAnsi" w:cstheme="minorHAnsi"/>
          <w:lang w:eastAsia="zh-TW"/>
        </w:rPr>
        <w:t xml:space="preserve">/g) and practically (&gt;250 </w:t>
      </w:r>
      <w:proofErr w:type="spellStart"/>
      <w:r w:rsidRPr="008C49FB">
        <w:rPr>
          <w:rFonts w:asciiTheme="minorHAnsi" w:eastAsia="PMingLiU" w:hAnsiTheme="minorHAnsi" w:cstheme="minorHAnsi"/>
          <w:lang w:eastAsia="zh-TW"/>
        </w:rPr>
        <w:t>mAh</w:t>
      </w:r>
      <w:proofErr w:type="spellEnd"/>
      <w:r w:rsidRPr="008C49FB">
        <w:rPr>
          <w:rFonts w:asciiTheme="minorHAnsi" w:eastAsia="PMingLiU" w:hAnsiTheme="minorHAnsi" w:cstheme="minorHAnsi"/>
          <w:lang w:eastAsia="zh-TW"/>
        </w:rPr>
        <w:t>/g) at room temperature, almost twice of that the traditional cathode materials can achieve. Generally, they are described as xLi</w:t>
      </w:r>
      <w:r w:rsidRPr="008C49FB">
        <w:rPr>
          <w:rFonts w:asciiTheme="minorHAnsi" w:eastAsia="PMingLiU" w:hAnsiTheme="minorHAnsi" w:cstheme="minorHAnsi"/>
          <w:vertAlign w:val="subscript"/>
          <w:lang w:eastAsia="zh-TW"/>
        </w:rPr>
        <w:t>2</w:t>
      </w:r>
      <w:r w:rsidRPr="008C49FB">
        <w:rPr>
          <w:rFonts w:asciiTheme="minorHAnsi" w:eastAsia="PMingLiU" w:hAnsiTheme="minorHAnsi" w:cstheme="minorHAnsi"/>
          <w:lang w:eastAsia="zh-TW"/>
        </w:rPr>
        <w:t>MnO</w:t>
      </w:r>
      <w:r w:rsidRPr="008C49FB">
        <w:rPr>
          <w:rFonts w:asciiTheme="minorHAnsi" w:eastAsia="PMingLiU" w:hAnsiTheme="minorHAnsi" w:cstheme="minorHAnsi"/>
          <w:vertAlign w:val="subscript"/>
          <w:lang w:eastAsia="zh-TW"/>
        </w:rPr>
        <w:t>3</w:t>
      </w:r>
      <w:r w:rsidRPr="008C49FB">
        <w:rPr>
          <w:rFonts w:asciiTheme="minorHAnsi" w:eastAsia="PMingLiU" w:hAnsiTheme="minorHAnsi" w:cstheme="minorHAnsi"/>
          <w:lang w:eastAsia="zh-TW"/>
        </w:rPr>
        <w:t>·(1-x) LiMO</w:t>
      </w:r>
      <w:r w:rsidRPr="008C49FB">
        <w:rPr>
          <w:rFonts w:asciiTheme="minorHAnsi" w:eastAsia="PMingLiU" w:hAnsiTheme="minorHAnsi" w:cstheme="minorHAnsi"/>
          <w:vertAlign w:val="subscript"/>
          <w:lang w:eastAsia="zh-TW"/>
        </w:rPr>
        <w:t>2</w:t>
      </w:r>
      <w:r w:rsidRPr="008C49FB">
        <w:rPr>
          <w:rFonts w:asciiTheme="minorHAnsi" w:eastAsia="PMingLiU" w:hAnsiTheme="minorHAnsi" w:cstheme="minorHAnsi"/>
          <w:lang w:eastAsia="zh-TW"/>
        </w:rPr>
        <w:t xml:space="preserve"> (M = Mn, Ni, Co or their mixture), in which the Li</w:t>
      </w:r>
      <w:r w:rsidRPr="008C49FB">
        <w:rPr>
          <w:rFonts w:asciiTheme="minorHAnsi" w:eastAsia="PMingLiU" w:hAnsiTheme="minorHAnsi" w:cstheme="minorHAnsi"/>
          <w:vertAlign w:val="subscript"/>
          <w:lang w:eastAsia="zh-TW"/>
        </w:rPr>
        <w:t>2</w:t>
      </w:r>
      <w:r w:rsidRPr="008C49FB">
        <w:rPr>
          <w:rFonts w:asciiTheme="minorHAnsi" w:eastAsia="PMingLiU" w:hAnsiTheme="minorHAnsi" w:cstheme="minorHAnsi"/>
          <w:lang w:eastAsia="zh-TW"/>
        </w:rPr>
        <w:t>MnO</w:t>
      </w:r>
      <w:r w:rsidRPr="008C49FB">
        <w:rPr>
          <w:rFonts w:asciiTheme="minorHAnsi" w:eastAsia="PMingLiU" w:hAnsiTheme="minorHAnsi" w:cstheme="minorHAnsi"/>
          <w:vertAlign w:val="subscript"/>
          <w:lang w:eastAsia="zh-TW"/>
        </w:rPr>
        <w:t>3</w:t>
      </w:r>
      <w:r w:rsidRPr="008C49FB">
        <w:rPr>
          <w:rFonts w:asciiTheme="minorHAnsi" w:eastAsia="PMingLiU" w:hAnsiTheme="minorHAnsi" w:cstheme="minorHAnsi"/>
          <w:lang w:eastAsia="zh-TW"/>
        </w:rPr>
        <w:t xml:space="preserve"> can be activated by high voltage charging (&gt; 4.5 V) to provide extra capacity.</w:t>
      </w:r>
      <w:r w:rsidRPr="008C49FB">
        <w:rPr>
          <w:rFonts w:asciiTheme="minorHAnsi" w:eastAsia="PMingLiU" w:hAnsiTheme="minorHAnsi" w:cstheme="minorHAnsi"/>
          <w:vertAlign w:val="superscript"/>
          <w:lang w:eastAsia="zh-TW"/>
        </w:rPr>
        <w:t>2</w:t>
      </w:r>
      <w:r w:rsidRPr="008C49FB">
        <w:rPr>
          <w:rFonts w:asciiTheme="minorHAnsi" w:eastAsia="PMingLiU" w:hAnsiTheme="minorHAnsi" w:cstheme="minorHAnsi"/>
          <w:lang w:eastAsia="zh-TW"/>
        </w:rPr>
        <w:t xml:space="preserve"> In addition, they can offer a high working voltage of 3.6 V or even higher, which could significantly contribute to an ultrahigh energy density of up to 1000 </w:t>
      </w:r>
      <w:proofErr w:type="spellStart"/>
      <w:r w:rsidRPr="008C49FB">
        <w:rPr>
          <w:rFonts w:asciiTheme="minorHAnsi" w:eastAsia="PMingLiU" w:hAnsiTheme="minorHAnsi" w:cstheme="minorHAnsi"/>
          <w:lang w:eastAsia="zh-TW"/>
        </w:rPr>
        <w:t>Wh</w:t>
      </w:r>
      <w:proofErr w:type="spellEnd"/>
      <w:r w:rsidRPr="008C49FB">
        <w:rPr>
          <w:rFonts w:asciiTheme="minorHAnsi" w:eastAsia="PMingLiU" w:hAnsiTheme="minorHAnsi" w:cstheme="minorHAnsi"/>
          <w:lang w:eastAsia="zh-TW"/>
        </w:rPr>
        <w:t>/kg. However, several technical challenges, including voltage fade, large first-cycle capacity loss, poor rate capability, and limited cycle life of LRCMs, remain to be solved prior to commercial application of these cathodes.</w:t>
      </w:r>
      <w:r w:rsidRPr="008C49FB">
        <w:rPr>
          <w:rFonts w:asciiTheme="minorHAnsi" w:hAnsiTheme="minorHAnsi" w:cstheme="minorHAnsi"/>
          <w:vertAlign w:val="superscript"/>
        </w:rPr>
        <w:t>3</w:t>
      </w:r>
    </w:p>
    <w:p w14:paraId="1BE91373" w14:textId="648D552F" w:rsidR="008C49FB" w:rsidRPr="008C49FB" w:rsidRDefault="008C49FB" w:rsidP="008C49FB">
      <w:pPr>
        <w:jc w:val="both"/>
        <w:rPr>
          <w:rFonts w:asciiTheme="minorHAnsi" w:hAnsiTheme="minorHAnsi" w:cstheme="minorHAnsi"/>
        </w:rPr>
      </w:pPr>
      <w:r w:rsidRPr="008C49FB">
        <w:rPr>
          <w:rFonts w:asciiTheme="minorHAnsi" w:hAnsiTheme="minorHAnsi" w:cstheme="minorHAnsi"/>
        </w:rPr>
        <w:t xml:space="preserve">To overcome these challenges, several strategies have been employed to improve the performance of lithium-rich materials. Among the strategies, lattice doping </w:t>
      </w:r>
      <w:r>
        <w:rPr>
          <w:rFonts w:asciiTheme="minorHAnsi" w:hAnsiTheme="minorHAnsi" w:cstheme="minorHAnsi"/>
        </w:rPr>
        <w:t>is</w:t>
      </w:r>
      <w:r w:rsidRPr="008C49FB">
        <w:rPr>
          <w:rFonts w:asciiTheme="minorHAnsi" w:hAnsiTheme="minorHAnsi" w:cstheme="minorHAnsi"/>
        </w:rPr>
        <w:t xml:space="preserve"> commonly considered to be an effective method to enhance their electronic conductivity. However, previous reports on the doping of layered lithium-rich materials with Al</w:t>
      </w:r>
      <w:r w:rsidRPr="008C49FB">
        <w:rPr>
          <w:rFonts w:asciiTheme="minorHAnsi" w:hAnsiTheme="minorHAnsi" w:cstheme="minorHAnsi"/>
          <w:vertAlign w:val="superscript"/>
        </w:rPr>
        <w:t>3+</w:t>
      </w:r>
      <w:r w:rsidRPr="008C49FB">
        <w:rPr>
          <w:rFonts w:asciiTheme="minorHAnsi" w:hAnsiTheme="minorHAnsi" w:cstheme="minorHAnsi"/>
        </w:rPr>
        <w:t>, Mg</w:t>
      </w:r>
      <w:r w:rsidRPr="008C49FB">
        <w:rPr>
          <w:rFonts w:asciiTheme="minorHAnsi" w:hAnsiTheme="minorHAnsi" w:cstheme="minorHAnsi"/>
          <w:vertAlign w:val="superscript"/>
        </w:rPr>
        <w:t>2+</w:t>
      </w:r>
      <w:r w:rsidRPr="008C49FB">
        <w:rPr>
          <w:rFonts w:asciiTheme="minorHAnsi" w:hAnsiTheme="minorHAnsi" w:cstheme="minorHAnsi"/>
        </w:rPr>
        <w:t>, Cr</w:t>
      </w:r>
      <w:r w:rsidRPr="008C49FB">
        <w:rPr>
          <w:rFonts w:asciiTheme="minorHAnsi" w:hAnsiTheme="minorHAnsi" w:cstheme="minorHAnsi"/>
          <w:vertAlign w:val="superscript"/>
        </w:rPr>
        <w:t>3+</w:t>
      </w:r>
      <w:r w:rsidRPr="008C49FB">
        <w:rPr>
          <w:rFonts w:asciiTheme="minorHAnsi" w:hAnsiTheme="minorHAnsi" w:cstheme="minorHAnsi"/>
        </w:rPr>
        <w:t>, Ti</w:t>
      </w:r>
      <w:r w:rsidRPr="008C49FB">
        <w:rPr>
          <w:rFonts w:asciiTheme="minorHAnsi" w:hAnsiTheme="minorHAnsi" w:cstheme="minorHAnsi"/>
          <w:vertAlign w:val="superscript"/>
        </w:rPr>
        <w:t>4+</w:t>
      </w:r>
      <w:r w:rsidRPr="008C49FB">
        <w:rPr>
          <w:rFonts w:asciiTheme="minorHAnsi" w:hAnsiTheme="minorHAnsi" w:cstheme="minorHAnsi"/>
        </w:rPr>
        <w:t>, etc. showed a limited improvement in electrochemical performance.</w:t>
      </w:r>
      <w:r w:rsidRPr="008C49FB">
        <w:rPr>
          <w:rFonts w:asciiTheme="minorHAnsi" w:hAnsiTheme="minorHAnsi" w:cstheme="minorHAnsi"/>
          <w:vertAlign w:val="superscript"/>
        </w:rPr>
        <w:t>3</w:t>
      </w:r>
      <w:r w:rsidRPr="008C49FB">
        <w:rPr>
          <w:rFonts w:asciiTheme="minorHAnsi" w:hAnsiTheme="minorHAnsi" w:cstheme="minorHAnsi"/>
        </w:rPr>
        <w:t xml:space="preserve"> Therefore, the selection of the doping element and the doping amount is of significance in improving electrochemical properties of the lithium-rich materials. In this work, lanthanum (La</w:t>
      </w:r>
      <w:r w:rsidRPr="008C49FB">
        <w:rPr>
          <w:rFonts w:asciiTheme="minorHAnsi" w:hAnsiTheme="minorHAnsi" w:cstheme="minorHAnsi"/>
          <w:vertAlign w:val="superscript"/>
        </w:rPr>
        <w:t>3+</w:t>
      </w:r>
      <w:r w:rsidRPr="008C49FB">
        <w:rPr>
          <w:rFonts w:asciiTheme="minorHAnsi" w:hAnsiTheme="minorHAnsi" w:cstheme="minorHAnsi"/>
        </w:rPr>
        <w:t>) is selected as a dopant to substitute transition metals (TMs) in layered lithium-rich materials, Li</w:t>
      </w:r>
      <w:r w:rsidRPr="008C49FB">
        <w:rPr>
          <w:rFonts w:asciiTheme="minorHAnsi" w:hAnsiTheme="minorHAnsi" w:cstheme="minorHAnsi"/>
          <w:vertAlign w:val="subscript"/>
        </w:rPr>
        <w:t>1.2</w:t>
      </w:r>
      <w:r w:rsidRPr="008C49FB">
        <w:rPr>
          <w:rFonts w:asciiTheme="minorHAnsi" w:hAnsiTheme="minorHAnsi" w:cstheme="minorHAnsi"/>
        </w:rPr>
        <w:t>Mn</w:t>
      </w:r>
      <w:r w:rsidRPr="008C49FB">
        <w:rPr>
          <w:rFonts w:asciiTheme="minorHAnsi" w:hAnsiTheme="minorHAnsi" w:cstheme="minorHAnsi"/>
          <w:vertAlign w:val="subscript"/>
        </w:rPr>
        <w:t>0.6</w:t>
      </w:r>
      <w:r w:rsidRPr="008C49FB">
        <w:rPr>
          <w:rFonts w:asciiTheme="minorHAnsi" w:hAnsiTheme="minorHAnsi" w:cstheme="minorHAnsi"/>
        </w:rPr>
        <w:t>Ni</w:t>
      </w:r>
      <w:r w:rsidRPr="008C49FB">
        <w:rPr>
          <w:rFonts w:asciiTheme="minorHAnsi" w:hAnsiTheme="minorHAnsi" w:cstheme="minorHAnsi"/>
          <w:vertAlign w:val="subscript"/>
        </w:rPr>
        <w:t>0.2</w:t>
      </w:r>
      <w:r w:rsidRPr="008C49FB">
        <w:rPr>
          <w:rFonts w:asciiTheme="minorHAnsi" w:hAnsiTheme="minorHAnsi" w:cstheme="minorHAnsi"/>
        </w:rPr>
        <w:t>O</w:t>
      </w:r>
      <w:r w:rsidRPr="008C49FB">
        <w:rPr>
          <w:rFonts w:asciiTheme="minorHAnsi" w:hAnsiTheme="minorHAnsi" w:cstheme="minorHAnsi"/>
          <w:vertAlign w:val="subscript"/>
        </w:rPr>
        <w:t>2</w:t>
      </w:r>
      <w:r w:rsidRPr="008C49FB">
        <w:rPr>
          <w:rFonts w:asciiTheme="minorHAnsi" w:hAnsiTheme="minorHAnsi" w:cstheme="minorHAnsi"/>
        </w:rPr>
        <w:t>. It is considered that the much stronger bond energy of La–O than Mn–O or Ni–O benefits the stability of the bulk layered structure; meanwhile, doping La</w:t>
      </w:r>
      <w:r w:rsidRPr="008C49FB">
        <w:rPr>
          <w:rFonts w:asciiTheme="minorHAnsi" w:hAnsiTheme="minorHAnsi" w:cstheme="minorHAnsi"/>
          <w:vertAlign w:val="superscript"/>
        </w:rPr>
        <w:t>3+</w:t>
      </w:r>
      <w:r w:rsidRPr="008C49FB">
        <w:rPr>
          <w:rFonts w:asciiTheme="minorHAnsi" w:hAnsiTheme="minorHAnsi" w:cstheme="minorHAnsi"/>
        </w:rPr>
        <w:t> ions with a “super-large” radius (</w:t>
      </w:r>
      <w:r w:rsidRPr="008C49FB">
        <w:rPr>
          <w:rFonts w:asciiTheme="minorHAnsi" w:hAnsiTheme="minorHAnsi" w:cstheme="minorHAnsi"/>
          <w:i/>
          <w:iCs/>
        </w:rPr>
        <w:t>r</w:t>
      </w:r>
      <w:r w:rsidRPr="008C49FB">
        <w:rPr>
          <w:rFonts w:asciiTheme="minorHAnsi" w:hAnsiTheme="minorHAnsi" w:cstheme="minorHAnsi"/>
        </w:rPr>
        <w:t>La</w:t>
      </w:r>
      <w:r w:rsidRPr="008C49FB">
        <w:rPr>
          <w:rFonts w:asciiTheme="minorHAnsi" w:hAnsiTheme="minorHAnsi" w:cstheme="minorHAnsi"/>
          <w:vertAlign w:val="superscript"/>
        </w:rPr>
        <w:t>3+</w:t>
      </w:r>
      <w:r w:rsidRPr="008C49FB">
        <w:rPr>
          <w:rFonts w:asciiTheme="minorHAnsi" w:hAnsiTheme="minorHAnsi" w:cstheme="minorHAnsi"/>
        </w:rPr>
        <w:t> = 0.1032 nm) </w:t>
      </w:r>
      <w:r w:rsidRPr="008C49FB">
        <w:rPr>
          <w:rFonts w:asciiTheme="minorHAnsi" w:hAnsiTheme="minorHAnsi" w:cstheme="minorHAnsi"/>
          <w:i/>
          <w:iCs/>
        </w:rPr>
        <w:t>vs.</w:t>
      </w:r>
      <w:r w:rsidRPr="008C49FB">
        <w:rPr>
          <w:rFonts w:asciiTheme="minorHAnsi" w:hAnsiTheme="minorHAnsi" w:cstheme="minorHAnsi"/>
        </w:rPr>
        <w:t>Mn</w:t>
      </w:r>
      <w:r w:rsidRPr="008C49FB">
        <w:rPr>
          <w:rFonts w:asciiTheme="minorHAnsi" w:hAnsiTheme="minorHAnsi" w:cstheme="minorHAnsi"/>
          <w:vertAlign w:val="superscript"/>
        </w:rPr>
        <w:t>4+</w:t>
      </w:r>
      <w:r w:rsidRPr="008C49FB">
        <w:rPr>
          <w:rFonts w:asciiTheme="minorHAnsi" w:hAnsiTheme="minorHAnsi" w:cstheme="minorHAnsi"/>
        </w:rPr>
        <w:t> ions (</w:t>
      </w:r>
      <w:r w:rsidRPr="008C49FB">
        <w:rPr>
          <w:rFonts w:asciiTheme="minorHAnsi" w:hAnsiTheme="minorHAnsi" w:cstheme="minorHAnsi"/>
          <w:i/>
          <w:iCs/>
        </w:rPr>
        <w:t>r</w:t>
      </w:r>
      <w:r w:rsidRPr="008C49FB">
        <w:rPr>
          <w:rFonts w:asciiTheme="minorHAnsi" w:hAnsiTheme="minorHAnsi" w:cstheme="minorHAnsi"/>
        </w:rPr>
        <w:t>Mn</w:t>
      </w:r>
      <w:r w:rsidRPr="008C49FB">
        <w:rPr>
          <w:rFonts w:asciiTheme="minorHAnsi" w:hAnsiTheme="minorHAnsi" w:cstheme="minorHAnsi"/>
          <w:vertAlign w:val="superscript"/>
        </w:rPr>
        <w:t>4+</w:t>
      </w:r>
      <w:r w:rsidRPr="008C49FB">
        <w:rPr>
          <w:rFonts w:asciiTheme="minorHAnsi" w:hAnsiTheme="minorHAnsi" w:cstheme="minorHAnsi"/>
        </w:rPr>
        <w:t> = 0.053 nm) is expected to expand Li</w:t>
      </w:r>
      <w:r w:rsidRPr="008C49FB">
        <w:rPr>
          <w:rFonts w:asciiTheme="minorHAnsi" w:hAnsiTheme="minorHAnsi" w:cstheme="minorHAnsi"/>
          <w:vertAlign w:val="superscript"/>
        </w:rPr>
        <w:t>+</w:t>
      </w:r>
      <w:r w:rsidRPr="008C49FB">
        <w:rPr>
          <w:rFonts w:asciiTheme="minorHAnsi" w:hAnsiTheme="minorHAnsi" w:cstheme="minorHAnsi"/>
        </w:rPr>
        <w:t> pathways in this layered structure.</w:t>
      </w:r>
    </w:p>
    <w:p w14:paraId="579BE22A" w14:textId="6098586A" w:rsidR="008C49FB" w:rsidRPr="008C49FB" w:rsidRDefault="008C49FB" w:rsidP="008C49FB">
      <w:pPr>
        <w:jc w:val="both"/>
        <w:rPr>
          <w:rFonts w:asciiTheme="minorHAnsi" w:hAnsiTheme="minorHAnsi" w:cstheme="minorHAnsi"/>
          <w:b/>
        </w:rPr>
      </w:pPr>
      <w:r w:rsidRPr="008C49FB">
        <w:rPr>
          <w:rFonts w:asciiTheme="minorHAnsi" w:hAnsiTheme="minorHAnsi" w:cstheme="minorHAnsi"/>
          <w:b/>
        </w:rPr>
        <w:t>2. Methodology</w:t>
      </w:r>
    </w:p>
    <w:p w14:paraId="124058BA" w14:textId="451A7DE6" w:rsidR="008C49FB" w:rsidRPr="008C49FB" w:rsidRDefault="008C49FB" w:rsidP="008C49FB">
      <w:pPr>
        <w:jc w:val="both"/>
        <w:rPr>
          <w:rFonts w:asciiTheme="minorHAnsi" w:hAnsiTheme="minorHAnsi" w:cstheme="minorHAnsi"/>
        </w:rPr>
      </w:pPr>
      <w:r w:rsidRPr="008C49FB">
        <w:rPr>
          <w:rFonts w:asciiTheme="minorHAnsi" w:hAnsiTheme="minorHAnsi" w:cstheme="minorHAnsi"/>
        </w:rPr>
        <w:t xml:space="preserve">LRCMs, </w:t>
      </w:r>
      <w:r w:rsidRPr="008C49FB">
        <w:rPr>
          <w:rFonts w:asciiTheme="minorHAnsi" w:hAnsiTheme="minorHAnsi" w:cstheme="minorHAnsi"/>
          <w:lang w:val="it-IT"/>
        </w:rPr>
        <w:t>Li</w:t>
      </w:r>
      <w:r w:rsidRPr="008C49FB">
        <w:rPr>
          <w:rFonts w:asciiTheme="minorHAnsi" w:hAnsiTheme="minorHAnsi" w:cstheme="minorHAnsi"/>
          <w:vertAlign w:val="subscript"/>
        </w:rPr>
        <w:t>1.2</w:t>
      </w:r>
      <w:r w:rsidRPr="008C49FB">
        <w:rPr>
          <w:rFonts w:asciiTheme="minorHAnsi" w:hAnsiTheme="minorHAnsi" w:cstheme="minorHAnsi"/>
          <w:lang w:val="it-IT"/>
        </w:rPr>
        <w:t>Mn</w:t>
      </w:r>
      <w:r w:rsidRPr="008C49FB">
        <w:rPr>
          <w:rFonts w:asciiTheme="minorHAnsi" w:hAnsiTheme="minorHAnsi" w:cstheme="minorHAnsi"/>
          <w:vertAlign w:val="subscript"/>
        </w:rPr>
        <w:t>0.6-3x/4</w:t>
      </w:r>
      <w:r w:rsidRPr="008C49FB">
        <w:rPr>
          <w:rFonts w:asciiTheme="minorHAnsi" w:hAnsiTheme="minorHAnsi" w:cstheme="minorHAnsi"/>
          <w:lang w:val="it-IT"/>
        </w:rPr>
        <w:t>Ni</w:t>
      </w:r>
      <w:r w:rsidRPr="008C49FB">
        <w:rPr>
          <w:rFonts w:asciiTheme="minorHAnsi" w:hAnsiTheme="minorHAnsi" w:cstheme="minorHAnsi"/>
          <w:vertAlign w:val="subscript"/>
          <w:lang w:val="it-IT"/>
        </w:rPr>
        <w:t>0.2-x/4</w:t>
      </w:r>
      <w:r w:rsidRPr="008C49FB">
        <w:rPr>
          <w:rFonts w:asciiTheme="minorHAnsi" w:hAnsiTheme="minorHAnsi" w:cstheme="minorHAnsi"/>
        </w:rPr>
        <w:t>La</w:t>
      </w:r>
      <w:r w:rsidRPr="008C49FB">
        <w:rPr>
          <w:rFonts w:asciiTheme="minorHAnsi" w:hAnsiTheme="minorHAnsi" w:cstheme="minorHAnsi"/>
          <w:vertAlign w:val="subscript"/>
        </w:rPr>
        <w:t>x</w:t>
      </w:r>
      <w:r w:rsidRPr="008C49FB">
        <w:rPr>
          <w:rFonts w:asciiTheme="minorHAnsi" w:hAnsiTheme="minorHAnsi" w:cstheme="minorHAnsi"/>
          <w:lang w:val="it-IT"/>
        </w:rPr>
        <w:t>O</w:t>
      </w:r>
      <w:r w:rsidRPr="008C49FB">
        <w:rPr>
          <w:rFonts w:asciiTheme="minorHAnsi" w:hAnsiTheme="minorHAnsi" w:cstheme="minorHAnsi"/>
          <w:vertAlign w:val="subscript"/>
          <w:lang w:val="it-IT"/>
        </w:rPr>
        <w:t xml:space="preserve">2 </w:t>
      </w:r>
      <w:r w:rsidRPr="008C49FB">
        <w:rPr>
          <w:rFonts w:asciiTheme="minorHAnsi" w:hAnsiTheme="minorHAnsi" w:cstheme="minorHAnsi"/>
        </w:rPr>
        <w:t>(</w:t>
      </w:r>
      <w:r w:rsidRPr="008C49FB">
        <w:rPr>
          <w:rFonts w:asciiTheme="minorHAnsi" w:hAnsiTheme="minorHAnsi" w:cstheme="minorHAnsi"/>
          <w:i/>
          <w:iCs/>
        </w:rPr>
        <w:t>x</w:t>
      </w:r>
      <w:r w:rsidRPr="008C49FB">
        <w:rPr>
          <w:rFonts w:asciiTheme="minorHAnsi" w:hAnsiTheme="minorHAnsi" w:cstheme="minorHAnsi"/>
        </w:rPr>
        <w:t> = 0, 0.0</w:t>
      </w:r>
      <w:r>
        <w:rPr>
          <w:rFonts w:asciiTheme="minorHAnsi" w:hAnsiTheme="minorHAnsi" w:cstheme="minorHAnsi"/>
        </w:rPr>
        <w:t>02</w:t>
      </w:r>
      <w:r w:rsidRPr="008C49FB">
        <w:rPr>
          <w:rFonts w:asciiTheme="minorHAnsi" w:hAnsiTheme="minorHAnsi" w:cstheme="minorHAnsi"/>
        </w:rPr>
        <w:t>, 0.0</w:t>
      </w:r>
      <w:r>
        <w:rPr>
          <w:rFonts w:asciiTheme="minorHAnsi" w:hAnsiTheme="minorHAnsi" w:cstheme="minorHAnsi"/>
        </w:rPr>
        <w:t>04</w:t>
      </w:r>
      <w:r w:rsidRPr="008C49FB">
        <w:rPr>
          <w:rFonts w:asciiTheme="minorHAnsi" w:hAnsiTheme="minorHAnsi" w:cstheme="minorHAnsi"/>
        </w:rPr>
        <w:t>,</w:t>
      </w:r>
      <w:r w:rsidR="00965DE9" w:rsidRPr="00965DE9">
        <w:rPr>
          <w:rFonts w:asciiTheme="minorHAnsi" w:hAnsiTheme="minorHAnsi" w:cstheme="minorHAnsi"/>
        </w:rPr>
        <w:t xml:space="preserve"> </w:t>
      </w:r>
      <w:r w:rsidR="00965DE9" w:rsidRPr="008C49FB">
        <w:rPr>
          <w:rFonts w:asciiTheme="minorHAnsi" w:hAnsiTheme="minorHAnsi" w:cstheme="minorHAnsi"/>
        </w:rPr>
        <w:t>and</w:t>
      </w:r>
      <w:r w:rsidRPr="008C49FB">
        <w:rPr>
          <w:rFonts w:asciiTheme="minorHAnsi" w:hAnsiTheme="minorHAnsi" w:cstheme="minorHAnsi"/>
        </w:rPr>
        <w:t xml:space="preserve"> 0.0</w:t>
      </w:r>
      <w:r>
        <w:rPr>
          <w:rFonts w:asciiTheme="minorHAnsi" w:hAnsiTheme="minorHAnsi" w:cstheme="minorHAnsi"/>
        </w:rPr>
        <w:t>06</w:t>
      </w:r>
      <w:r w:rsidRPr="008C49FB">
        <w:rPr>
          <w:rFonts w:asciiTheme="minorHAnsi" w:hAnsiTheme="minorHAnsi" w:cstheme="minorHAnsi"/>
        </w:rPr>
        <w:t>), were synthesized by a polymer-assisted sol-gel method. To prepare the materials, stoichiometric amounts of metal salts (nickel acetate, manganese acetate, lithium acetate and</w:t>
      </w:r>
      <w:r>
        <w:rPr>
          <w:rFonts w:asciiTheme="minorHAnsi" w:hAnsiTheme="minorHAnsi" w:cstheme="minorHAnsi"/>
        </w:rPr>
        <w:t xml:space="preserve"> lanthanum acetate</w:t>
      </w:r>
      <w:r w:rsidRPr="008C49FB">
        <w:rPr>
          <w:rFonts w:asciiTheme="minorHAnsi" w:hAnsiTheme="minorHAnsi" w:cstheme="minorHAnsi"/>
        </w:rPr>
        <w:t xml:space="preserve">) were dissolved in distilled water, followed by the introduction of acrylic acid. The mixture was stirred on hotplate until a dry gel formed. Then the dried gel was heated to 450 </w:t>
      </w:r>
      <w:r w:rsidRPr="008C49FB">
        <w:rPr>
          <w:rFonts w:asciiTheme="minorHAnsi" w:hAnsiTheme="minorHAnsi" w:cstheme="minorHAnsi"/>
          <w:spacing w:val="-5"/>
          <w:shd w:val="clear" w:color="auto" w:fill="FFFFFF"/>
        </w:rPr>
        <w:t xml:space="preserve">°C to get precursors. </w:t>
      </w:r>
      <w:r w:rsidRPr="008C49FB">
        <w:rPr>
          <w:rFonts w:asciiTheme="minorHAnsi" w:hAnsiTheme="minorHAnsi" w:cstheme="minorHAnsi"/>
        </w:rPr>
        <w:t>After being ground into powders, t</w:t>
      </w:r>
      <w:r w:rsidRPr="008C49FB">
        <w:rPr>
          <w:rFonts w:asciiTheme="minorHAnsi" w:hAnsiTheme="minorHAnsi" w:cstheme="minorHAnsi"/>
          <w:spacing w:val="-5"/>
          <w:shd w:val="clear" w:color="auto" w:fill="FFFFFF"/>
        </w:rPr>
        <w:t xml:space="preserve">he precursors were calcined at </w:t>
      </w:r>
      <w:r>
        <w:rPr>
          <w:rFonts w:asciiTheme="minorHAnsi" w:hAnsiTheme="minorHAnsi" w:cstheme="minorHAnsi"/>
          <w:spacing w:val="-5"/>
          <w:shd w:val="clear" w:color="auto" w:fill="FFFFFF"/>
        </w:rPr>
        <w:t>850</w:t>
      </w:r>
      <w:r w:rsidRPr="008C49FB">
        <w:rPr>
          <w:rFonts w:asciiTheme="minorHAnsi" w:hAnsiTheme="minorHAnsi" w:cstheme="minorHAnsi"/>
          <w:spacing w:val="-5"/>
          <w:shd w:val="clear" w:color="auto" w:fill="FFFFFF"/>
        </w:rPr>
        <w:t xml:space="preserve"> °C in air for 10 h</w:t>
      </w:r>
      <w:r w:rsidRPr="008C49FB">
        <w:rPr>
          <w:rFonts w:asciiTheme="minorHAnsi" w:hAnsiTheme="minorHAnsi" w:cstheme="minorHAnsi"/>
        </w:rPr>
        <w:t>.</w:t>
      </w:r>
    </w:p>
    <w:p w14:paraId="49988786" w14:textId="77777777" w:rsidR="008C49FB" w:rsidRPr="008C49FB" w:rsidRDefault="008C49FB" w:rsidP="008C49FB">
      <w:pPr>
        <w:jc w:val="both"/>
        <w:rPr>
          <w:rFonts w:asciiTheme="minorHAnsi" w:hAnsiTheme="minorHAnsi" w:cstheme="minorHAnsi"/>
        </w:rPr>
      </w:pPr>
      <w:r w:rsidRPr="008C49FB">
        <w:rPr>
          <w:rFonts w:asciiTheme="minorHAnsi" w:hAnsiTheme="minorHAnsi" w:cstheme="minorHAnsi"/>
        </w:rPr>
        <w:t>Then the as-prepared materials were subjected to general and electrochemical characterization.</w:t>
      </w:r>
    </w:p>
    <w:p w14:paraId="7B94031B" w14:textId="77777777" w:rsidR="008C49FB" w:rsidRPr="008C49FB" w:rsidRDefault="008C49FB" w:rsidP="008C49FB">
      <w:pPr>
        <w:jc w:val="both"/>
        <w:rPr>
          <w:rFonts w:asciiTheme="minorHAnsi" w:hAnsiTheme="minorHAnsi" w:cstheme="minorHAnsi"/>
          <w:b/>
        </w:rPr>
      </w:pPr>
      <w:r w:rsidRPr="008C49FB">
        <w:rPr>
          <w:rFonts w:asciiTheme="minorHAnsi" w:hAnsiTheme="minorHAnsi" w:cstheme="minorHAnsi"/>
          <w:b/>
        </w:rPr>
        <w:t>3. Results and Discussion</w:t>
      </w:r>
    </w:p>
    <w:p w14:paraId="7848246E" w14:textId="7C6F2CF1" w:rsidR="008C49FB" w:rsidRPr="008C49FB" w:rsidRDefault="00965DE9" w:rsidP="00C01271">
      <w:pPr>
        <w:spacing w:afterLines="30" w:after="72"/>
        <w:contextualSpacing/>
        <w:jc w:val="center"/>
        <w:rPr>
          <w:rFonts w:asciiTheme="minorHAnsi" w:eastAsia="PMingLiU" w:hAnsiTheme="minorHAnsi" w:cstheme="minorHAnsi"/>
          <w:lang w:eastAsia="zh-TW"/>
        </w:rPr>
      </w:pPr>
      <w:r w:rsidRPr="00965DE9">
        <w:rPr>
          <w:rFonts w:asciiTheme="minorHAnsi" w:eastAsia="PMingLiU" w:hAnsiTheme="minorHAnsi" w:cstheme="minorHAnsi"/>
          <w:noProof/>
          <w:lang w:eastAsia="zh-TW"/>
        </w:rPr>
        <w:drawing>
          <wp:inline distT="0" distB="0" distL="0" distR="0" wp14:anchorId="501C12DC" wp14:editId="1C33C208">
            <wp:extent cx="4352290" cy="1659994"/>
            <wp:effectExtent l="0" t="0" r="0" b="0"/>
            <wp:docPr id="13" name="Picture 12">
              <a:extLst xmlns:a="http://schemas.openxmlformats.org/drawingml/2006/main">
                <a:ext uri="{FF2B5EF4-FFF2-40B4-BE49-F238E27FC236}">
                  <a16:creationId xmlns:a16="http://schemas.microsoft.com/office/drawing/2014/main" id="{5A07FED3-EE2D-47D5-A7B6-0600F5878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5A07FED3-EE2D-47D5-A7B6-0600F5878A56}"/>
                        </a:ext>
                      </a:extLst>
                    </pic:cNvPr>
                    <pic:cNvPicPr>
                      <a:picLocks noChangeAspect="1"/>
                    </pic:cNvPicPr>
                  </pic:nvPicPr>
                  <pic:blipFill>
                    <a:blip r:embed="rId7"/>
                    <a:stretch>
                      <a:fillRect/>
                    </a:stretch>
                  </pic:blipFill>
                  <pic:spPr>
                    <a:xfrm>
                      <a:off x="0" y="0"/>
                      <a:ext cx="4361842" cy="1663637"/>
                    </a:xfrm>
                    <a:prstGeom prst="rect">
                      <a:avLst/>
                    </a:prstGeom>
                    <a:solidFill>
                      <a:schemeClr val="bg1"/>
                    </a:solidFill>
                  </pic:spPr>
                </pic:pic>
              </a:graphicData>
            </a:graphic>
          </wp:inline>
        </w:drawing>
      </w:r>
    </w:p>
    <w:p w14:paraId="02AA9975" w14:textId="2EF42CB3" w:rsidR="008C49FB" w:rsidRPr="008C49FB" w:rsidRDefault="008C49FB" w:rsidP="008C49FB">
      <w:pPr>
        <w:spacing w:afterLines="30" w:after="72"/>
        <w:contextualSpacing/>
        <w:jc w:val="both"/>
        <w:rPr>
          <w:rFonts w:asciiTheme="minorHAnsi" w:eastAsia="PMingLiU" w:hAnsiTheme="minorHAnsi" w:cstheme="minorHAnsi"/>
          <w:lang w:eastAsia="zh-TW"/>
        </w:rPr>
      </w:pPr>
      <w:r w:rsidRPr="008C49FB">
        <w:rPr>
          <w:rFonts w:asciiTheme="minorHAnsi" w:eastAsia="PMingLiU" w:hAnsiTheme="minorHAnsi" w:cstheme="minorHAnsi"/>
          <w:lang w:eastAsia="zh-TW"/>
        </w:rPr>
        <w:lastRenderedPageBreak/>
        <w:t>Figure 1 (a-d) SEM images</w:t>
      </w:r>
      <w:r w:rsidRPr="008C49FB">
        <w:rPr>
          <w:rFonts w:asciiTheme="minorHAnsi" w:hAnsiTheme="minorHAnsi" w:cstheme="minorHAnsi"/>
        </w:rPr>
        <w:t xml:space="preserve"> and XRD patterns (e) </w:t>
      </w:r>
      <w:r w:rsidRPr="008C49FB">
        <w:rPr>
          <w:rFonts w:asciiTheme="minorHAnsi" w:eastAsia="PMingLiU" w:hAnsiTheme="minorHAnsi" w:cstheme="minorHAnsi"/>
          <w:lang w:eastAsia="zh-TW"/>
        </w:rPr>
        <w:t xml:space="preserve">of the </w:t>
      </w:r>
      <w:r w:rsidRPr="008C49FB">
        <w:rPr>
          <w:rFonts w:asciiTheme="minorHAnsi" w:hAnsiTheme="minorHAnsi" w:cstheme="minorHAnsi"/>
          <w:lang w:val="it-IT"/>
        </w:rPr>
        <w:t>Li</w:t>
      </w:r>
      <w:r w:rsidRPr="008C49FB">
        <w:rPr>
          <w:rFonts w:asciiTheme="minorHAnsi" w:hAnsiTheme="minorHAnsi" w:cstheme="minorHAnsi"/>
          <w:vertAlign w:val="subscript"/>
        </w:rPr>
        <w:t>1.2</w:t>
      </w:r>
      <w:r w:rsidRPr="008C49FB">
        <w:rPr>
          <w:rFonts w:asciiTheme="minorHAnsi" w:hAnsiTheme="minorHAnsi" w:cstheme="minorHAnsi"/>
          <w:lang w:val="it-IT"/>
        </w:rPr>
        <w:t>Mn</w:t>
      </w:r>
      <w:r w:rsidRPr="008C49FB">
        <w:rPr>
          <w:rFonts w:asciiTheme="minorHAnsi" w:hAnsiTheme="minorHAnsi" w:cstheme="minorHAnsi"/>
          <w:vertAlign w:val="subscript"/>
        </w:rPr>
        <w:t>0.6-3x/4</w:t>
      </w:r>
      <w:r w:rsidRPr="008C49FB">
        <w:rPr>
          <w:rFonts w:asciiTheme="minorHAnsi" w:hAnsiTheme="minorHAnsi" w:cstheme="minorHAnsi"/>
          <w:lang w:val="it-IT"/>
        </w:rPr>
        <w:t>Ni</w:t>
      </w:r>
      <w:r w:rsidRPr="008C49FB">
        <w:rPr>
          <w:rFonts w:asciiTheme="minorHAnsi" w:hAnsiTheme="minorHAnsi" w:cstheme="minorHAnsi"/>
          <w:vertAlign w:val="subscript"/>
          <w:lang w:val="it-IT"/>
        </w:rPr>
        <w:t>0.2-x/4</w:t>
      </w:r>
      <w:r w:rsidRPr="008C49FB">
        <w:rPr>
          <w:rFonts w:asciiTheme="minorHAnsi" w:hAnsiTheme="minorHAnsi" w:cstheme="minorHAnsi"/>
        </w:rPr>
        <w:t>La</w:t>
      </w:r>
      <w:r w:rsidRPr="008C49FB">
        <w:rPr>
          <w:rFonts w:asciiTheme="minorHAnsi" w:hAnsiTheme="minorHAnsi" w:cstheme="minorHAnsi"/>
          <w:vertAlign w:val="subscript"/>
        </w:rPr>
        <w:t>x</w:t>
      </w:r>
      <w:r w:rsidRPr="008C49FB">
        <w:rPr>
          <w:rFonts w:asciiTheme="minorHAnsi" w:hAnsiTheme="minorHAnsi" w:cstheme="minorHAnsi"/>
          <w:lang w:val="it-IT"/>
        </w:rPr>
        <w:t>O</w:t>
      </w:r>
      <w:r w:rsidRPr="008C49FB">
        <w:rPr>
          <w:rFonts w:asciiTheme="minorHAnsi" w:hAnsiTheme="minorHAnsi" w:cstheme="minorHAnsi"/>
          <w:vertAlign w:val="subscript"/>
          <w:lang w:val="it-IT"/>
        </w:rPr>
        <w:t>2</w:t>
      </w:r>
      <w:r w:rsidRPr="008C49FB">
        <w:rPr>
          <w:rFonts w:asciiTheme="minorHAnsi" w:hAnsiTheme="minorHAnsi" w:cstheme="minorHAnsi"/>
        </w:rPr>
        <w:t xml:space="preserve"> (</w:t>
      </w:r>
      <w:r w:rsidRPr="008C49FB">
        <w:rPr>
          <w:rFonts w:asciiTheme="minorHAnsi" w:hAnsiTheme="minorHAnsi" w:cstheme="minorHAnsi"/>
          <w:i/>
          <w:iCs/>
        </w:rPr>
        <w:t>x</w:t>
      </w:r>
      <w:r w:rsidRPr="008C49FB">
        <w:rPr>
          <w:rFonts w:asciiTheme="minorHAnsi" w:hAnsiTheme="minorHAnsi" w:cstheme="minorHAnsi"/>
        </w:rPr>
        <w:t xml:space="preserve"> = </w:t>
      </w:r>
      <w:r w:rsidR="00965DE9" w:rsidRPr="008C49FB">
        <w:rPr>
          <w:rFonts w:asciiTheme="minorHAnsi" w:hAnsiTheme="minorHAnsi" w:cstheme="minorHAnsi"/>
        </w:rPr>
        <w:t>0, 0.0</w:t>
      </w:r>
      <w:r w:rsidR="00965DE9">
        <w:rPr>
          <w:rFonts w:asciiTheme="minorHAnsi" w:hAnsiTheme="minorHAnsi" w:cstheme="minorHAnsi"/>
        </w:rPr>
        <w:t>02</w:t>
      </w:r>
      <w:r w:rsidR="00965DE9" w:rsidRPr="008C49FB">
        <w:rPr>
          <w:rFonts w:asciiTheme="minorHAnsi" w:hAnsiTheme="minorHAnsi" w:cstheme="minorHAnsi"/>
        </w:rPr>
        <w:t>, 0.0</w:t>
      </w:r>
      <w:r w:rsidR="00965DE9">
        <w:rPr>
          <w:rFonts w:asciiTheme="minorHAnsi" w:hAnsiTheme="minorHAnsi" w:cstheme="minorHAnsi"/>
        </w:rPr>
        <w:t>04</w:t>
      </w:r>
      <w:r w:rsidR="00965DE9" w:rsidRPr="008C49FB">
        <w:rPr>
          <w:rFonts w:asciiTheme="minorHAnsi" w:hAnsiTheme="minorHAnsi" w:cstheme="minorHAnsi"/>
        </w:rPr>
        <w:t>,</w:t>
      </w:r>
      <w:r w:rsidR="00965DE9" w:rsidRPr="00965DE9">
        <w:rPr>
          <w:rFonts w:asciiTheme="minorHAnsi" w:hAnsiTheme="minorHAnsi" w:cstheme="minorHAnsi"/>
        </w:rPr>
        <w:t xml:space="preserve"> </w:t>
      </w:r>
      <w:r w:rsidR="00965DE9" w:rsidRPr="008C49FB">
        <w:rPr>
          <w:rFonts w:asciiTheme="minorHAnsi" w:hAnsiTheme="minorHAnsi" w:cstheme="minorHAnsi"/>
        </w:rPr>
        <w:t>and 0.0</w:t>
      </w:r>
      <w:r w:rsidR="00965DE9">
        <w:rPr>
          <w:rFonts w:asciiTheme="minorHAnsi" w:hAnsiTheme="minorHAnsi" w:cstheme="minorHAnsi"/>
        </w:rPr>
        <w:t>06</w:t>
      </w:r>
      <w:r w:rsidRPr="008C49FB">
        <w:rPr>
          <w:rFonts w:asciiTheme="minorHAnsi" w:hAnsiTheme="minorHAnsi" w:cstheme="minorHAnsi"/>
        </w:rPr>
        <w:t>)</w:t>
      </w:r>
      <w:r w:rsidRPr="008C49FB">
        <w:rPr>
          <w:rFonts w:asciiTheme="minorHAnsi" w:eastAsia="PMingLiU" w:hAnsiTheme="minorHAnsi" w:cstheme="minorHAnsi"/>
          <w:lang w:eastAsia="zh-TW"/>
        </w:rPr>
        <w:t xml:space="preserve"> samples. </w:t>
      </w:r>
    </w:p>
    <w:p w14:paraId="65CDDCF7" w14:textId="77777777" w:rsidR="008C49FB" w:rsidRPr="008C49FB" w:rsidRDefault="008C49FB" w:rsidP="008C49FB">
      <w:pPr>
        <w:spacing w:afterLines="30" w:after="72"/>
        <w:contextualSpacing/>
        <w:jc w:val="both"/>
        <w:rPr>
          <w:rFonts w:asciiTheme="minorHAnsi" w:eastAsia="PMingLiU" w:hAnsiTheme="minorHAnsi" w:cstheme="minorHAnsi"/>
          <w:lang w:eastAsia="zh-TW"/>
        </w:rPr>
      </w:pPr>
    </w:p>
    <w:p w14:paraId="2D1CA903" w14:textId="5718E9B0" w:rsidR="008C49FB" w:rsidRDefault="0083688B" w:rsidP="0083688B">
      <w:pPr>
        <w:spacing w:afterLines="30" w:after="72"/>
        <w:contextualSpacing/>
        <w:jc w:val="center"/>
        <w:rPr>
          <w:rFonts w:asciiTheme="minorHAnsi" w:eastAsia="PMingLiU" w:hAnsiTheme="minorHAnsi" w:cstheme="minorHAnsi"/>
          <w:lang w:eastAsia="zh-TW"/>
        </w:rPr>
      </w:pPr>
      <w:r w:rsidRPr="0083688B">
        <w:rPr>
          <w:rFonts w:asciiTheme="minorHAnsi" w:eastAsia="PMingLiU" w:hAnsiTheme="minorHAnsi" w:cstheme="minorHAnsi"/>
          <w:noProof/>
          <w:lang w:eastAsia="zh-TW"/>
        </w:rPr>
        <w:drawing>
          <wp:inline distT="0" distB="0" distL="0" distR="0" wp14:anchorId="71C9ECB6" wp14:editId="7991B5F1">
            <wp:extent cx="4421126" cy="1657350"/>
            <wp:effectExtent l="0" t="0" r="0" b="0"/>
            <wp:docPr id="8" name="Picture 7">
              <a:extLst xmlns:a="http://schemas.openxmlformats.org/drawingml/2006/main">
                <a:ext uri="{FF2B5EF4-FFF2-40B4-BE49-F238E27FC236}">
                  <a16:creationId xmlns:a16="http://schemas.microsoft.com/office/drawing/2014/main" id="{FBC2A571-013E-4CFA-A340-B0C8BE54CE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BC2A571-013E-4CFA-A340-B0C8BE54CE65}"/>
                        </a:ext>
                      </a:extLst>
                    </pic:cNvPr>
                    <pic:cNvPicPr>
                      <a:picLocks noChangeAspect="1"/>
                    </pic:cNvPicPr>
                  </pic:nvPicPr>
                  <pic:blipFill>
                    <a:blip r:embed="rId8"/>
                    <a:stretch>
                      <a:fillRect/>
                    </a:stretch>
                  </pic:blipFill>
                  <pic:spPr>
                    <a:xfrm>
                      <a:off x="0" y="0"/>
                      <a:ext cx="4437473" cy="1663478"/>
                    </a:xfrm>
                    <a:prstGeom prst="rect">
                      <a:avLst/>
                    </a:prstGeom>
                    <a:solidFill>
                      <a:schemeClr val="bg1"/>
                    </a:solidFill>
                  </pic:spPr>
                </pic:pic>
              </a:graphicData>
            </a:graphic>
          </wp:inline>
        </w:drawing>
      </w:r>
    </w:p>
    <w:p w14:paraId="25A2EA2B" w14:textId="67314706" w:rsidR="008C49FB" w:rsidRDefault="008C49FB" w:rsidP="008C49FB">
      <w:pPr>
        <w:spacing w:afterLines="30" w:after="72"/>
        <w:contextualSpacing/>
        <w:jc w:val="both"/>
        <w:rPr>
          <w:rFonts w:asciiTheme="minorHAnsi" w:eastAsia="PMingLiU" w:hAnsiTheme="minorHAnsi" w:cstheme="minorHAnsi"/>
          <w:lang w:eastAsia="zh-TW"/>
        </w:rPr>
      </w:pPr>
      <w:r w:rsidRPr="008C49FB">
        <w:rPr>
          <w:rFonts w:asciiTheme="minorHAnsi" w:eastAsia="PMingLiU" w:hAnsiTheme="minorHAnsi" w:cstheme="minorHAnsi"/>
          <w:lang w:eastAsia="zh-TW"/>
        </w:rPr>
        <w:t xml:space="preserve">Figure 2 </w:t>
      </w:r>
      <w:r w:rsidR="00965DE9">
        <w:rPr>
          <w:rFonts w:asciiTheme="minorHAnsi" w:eastAsia="PMingLiU" w:hAnsiTheme="minorHAnsi" w:cstheme="minorHAnsi"/>
          <w:lang w:eastAsia="zh-TW"/>
        </w:rPr>
        <w:t>Rate and c</w:t>
      </w:r>
      <w:r w:rsidRPr="008C49FB">
        <w:rPr>
          <w:rFonts w:asciiTheme="minorHAnsi" w:eastAsia="PMingLiU" w:hAnsiTheme="minorHAnsi" w:cstheme="minorHAnsi"/>
          <w:lang w:eastAsia="zh-TW"/>
        </w:rPr>
        <w:t>ycling performance of the LRCMs containing different amounts of La</w:t>
      </w:r>
      <w:r w:rsidRPr="008C49FB">
        <w:rPr>
          <w:rFonts w:asciiTheme="minorHAnsi" w:eastAsia="PMingLiU" w:hAnsiTheme="minorHAnsi" w:cstheme="minorHAnsi"/>
          <w:vertAlign w:val="superscript"/>
          <w:lang w:eastAsia="zh-TW"/>
        </w:rPr>
        <w:t>3+</w:t>
      </w:r>
      <w:r w:rsidRPr="008C49FB">
        <w:rPr>
          <w:rFonts w:asciiTheme="minorHAnsi" w:eastAsia="PMingLiU" w:hAnsiTheme="minorHAnsi" w:cstheme="minorHAnsi"/>
          <w:lang w:eastAsia="zh-TW"/>
        </w:rPr>
        <w:t>.</w:t>
      </w:r>
    </w:p>
    <w:p w14:paraId="687EAEAF" w14:textId="3F20E2CE" w:rsidR="0083688B" w:rsidRDefault="0083688B" w:rsidP="0083688B">
      <w:pPr>
        <w:spacing w:afterLines="30" w:after="72"/>
        <w:contextualSpacing/>
        <w:jc w:val="center"/>
        <w:rPr>
          <w:rFonts w:asciiTheme="minorHAnsi" w:eastAsia="PMingLiU" w:hAnsiTheme="minorHAnsi" w:cstheme="minorHAnsi"/>
          <w:lang w:eastAsia="zh-TW"/>
        </w:rPr>
      </w:pPr>
      <w:r w:rsidRPr="0083688B">
        <w:rPr>
          <w:rFonts w:asciiTheme="minorHAnsi" w:eastAsia="PMingLiU" w:hAnsiTheme="minorHAnsi" w:cstheme="minorHAnsi"/>
          <w:noProof/>
          <w:lang w:eastAsia="zh-TW"/>
        </w:rPr>
        <w:drawing>
          <wp:inline distT="0" distB="0" distL="0" distR="0" wp14:anchorId="5D1A6069" wp14:editId="3ABD7AF3">
            <wp:extent cx="3963321" cy="2514600"/>
            <wp:effectExtent l="0" t="0" r="0" b="0"/>
            <wp:docPr id="2" name="Picture 1">
              <a:extLst xmlns:a="http://schemas.openxmlformats.org/drawingml/2006/main">
                <a:ext uri="{FF2B5EF4-FFF2-40B4-BE49-F238E27FC236}">
                  <a16:creationId xmlns:a16="http://schemas.microsoft.com/office/drawing/2014/main" id="{998E6AD8-B633-4D10-B246-7DF3797F56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98E6AD8-B633-4D10-B246-7DF3797F563A}"/>
                        </a:ext>
                      </a:extLst>
                    </pic:cNvPr>
                    <pic:cNvPicPr>
                      <a:picLocks noChangeAspect="1"/>
                    </pic:cNvPicPr>
                  </pic:nvPicPr>
                  <pic:blipFill>
                    <a:blip r:embed="rId9"/>
                    <a:stretch>
                      <a:fillRect/>
                    </a:stretch>
                  </pic:blipFill>
                  <pic:spPr>
                    <a:xfrm>
                      <a:off x="0" y="0"/>
                      <a:ext cx="3990626" cy="2531924"/>
                    </a:xfrm>
                    <a:prstGeom prst="rect">
                      <a:avLst/>
                    </a:prstGeom>
                    <a:solidFill>
                      <a:schemeClr val="bg1"/>
                    </a:solidFill>
                  </pic:spPr>
                </pic:pic>
              </a:graphicData>
            </a:graphic>
          </wp:inline>
        </w:drawing>
      </w:r>
    </w:p>
    <w:p w14:paraId="5DB32266" w14:textId="72BACC9A" w:rsidR="0083688B" w:rsidRDefault="0083688B" w:rsidP="0083688B">
      <w:pPr>
        <w:spacing w:afterLines="30" w:after="72"/>
        <w:contextualSpacing/>
        <w:jc w:val="both"/>
        <w:rPr>
          <w:rFonts w:asciiTheme="minorHAnsi" w:eastAsia="PMingLiU" w:hAnsiTheme="minorHAnsi" w:cstheme="minorHAnsi"/>
          <w:lang w:eastAsia="zh-TW"/>
        </w:rPr>
      </w:pPr>
      <w:r w:rsidRPr="008C49FB">
        <w:rPr>
          <w:rFonts w:asciiTheme="minorHAnsi" w:eastAsia="PMingLiU" w:hAnsiTheme="minorHAnsi" w:cstheme="minorHAnsi"/>
          <w:lang w:eastAsia="zh-TW"/>
        </w:rPr>
        <w:t xml:space="preserve">Figure 2 </w:t>
      </w:r>
      <w:r>
        <w:rPr>
          <w:rFonts w:asciiTheme="minorHAnsi" w:eastAsia="PMingLiU" w:hAnsiTheme="minorHAnsi" w:cstheme="minorHAnsi"/>
          <w:lang w:eastAsia="zh-TW"/>
        </w:rPr>
        <w:t>Comparison of the</w:t>
      </w:r>
      <w:r w:rsidRPr="0083688B">
        <w:rPr>
          <w:rFonts w:asciiTheme="minorHAnsi" w:eastAsia="PMingLiU" w:hAnsiTheme="minorHAnsi" w:cstheme="minorHAnsi"/>
          <w:lang w:eastAsia="zh-TW"/>
        </w:rPr>
        <w:t xml:space="preserve"> </w:t>
      </w:r>
      <w:r>
        <w:rPr>
          <w:rFonts w:asciiTheme="minorHAnsi" w:eastAsia="PMingLiU" w:hAnsiTheme="minorHAnsi" w:cstheme="minorHAnsi"/>
          <w:lang w:eastAsia="zh-TW"/>
        </w:rPr>
        <w:t>in-situ evolution of synchrotron diffraction peaks</w:t>
      </w:r>
      <w:r w:rsidR="00C01271">
        <w:rPr>
          <w:rFonts w:asciiTheme="minorHAnsi" w:eastAsia="PMingLiU" w:hAnsiTheme="minorHAnsi" w:cstheme="minorHAnsi"/>
          <w:lang w:eastAsia="zh-TW"/>
        </w:rPr>
        <w:t xml:space="preserve"> before and after La doping</w:t>
      </w:r>
      <w:r w:rsidRPr="008C49FB">
        <w:rPr>
          <w:rFonts w:asciiTheme="minorHAnsi" w:eastAsia="PMingLiU" w:hAnsiTheme="minorHAnsi" w:cstheme="minorHAnsi"/>
          <w:lang w:eastAsia="zh-TW"/>
        </w:rPr>
        <w:t>.</w:t>
      </w:r>
    </w:p>
    <w:p w14:paraId="347C013E" w14:textId="77777777" w:rsidR="008C49FB" w:rsidRPr="008C49FB" w:rsidRDefault="008C49FB" w:rsidP="008C49FB">
      <w:pPr>
        <w:spacing w:afterLines="30" w:after="72"/>
        <w:contextualSpacing/>
        <w:jc w:val="both"/>
        <w:rPr>
          <w:rFonts w:asciiTheme="minorHAnsi" w:eastAsia="PMingLiU" w:hAnsiTheme="minorHAnsi" w:cstheme="minorHAnsi"/>
          <w:b/>
          <w:lang w:eastAsia="zh-TW"/>
        </w:rPr>
      </w:pPr>
      <w:r w:rsidRPr="008C49FB">
        <w:rPr>
          <w:rFonts w:asciiTheme="minorHAnsi" w:eastAsia="PMingLiU" w:hAnsiTheme="minorHAnsi" w:cstheme="minorHAnsi"/>
          <w:b/>
          <w:lang w:eastAsia="zh-TW"/>
        </w:rPr>
        <w:t>4. Conclusions</w:t>
      </w:r>
    </w:p>
    <w:p w14:paraId="1448802B" w14:textId="34A314E6" w:rsidR="008C49FB" w:rsidRPr="008C49FB" w:rsidRDefault="008C49FB" w:rsidP="008C49FB">
      <w:pPr>
        <w:spacing w:afterLines="30" w:after="72"/>
        <w:contextualSpacing/>
        <w:jc w:val="both"/>
        <w:rPr>
          <w:rFonts w:asciiTheme="minorHAnsi" w:eastAsia="PMingLiU" w:hAnsiTheme="minorHAnsi" w:cstheme="minorHAnsi"/>
          <w:lang w:eastAsia="zh-TW"/>
        </w:rPr>
      </w:pPr>
      <w:r w:rsidRPr="008C49FB">
        <w:rPr>
          <w:rFonts w:asciiTheme="minorHAnsi" w:eastAsia="PMingLiU" w:hAnsiTheme="minorHAnsi" w:cstheme="minorHAnsi"/>
          <w:lang w:eastAsia="zh-TW"/>
        </w:rPr>
        <w:t xml:space="preserve">A series of La-contained LRCMs have been synthesized and evaluated. It is clearly demonstrated that a </w:t>
      </w:r>
      <w:r w:rsidR="00965DE9">
        <w:rPr>
          <w:rFonts w:asciiTheme="minorHAnsi" w:eastAsia="PMingLiU" w:hAnsiTheme="minorHAnsi" w:cstheme="minorHAnsi"/>
          <w:lang w:eastAsia="zh-TW"/>
        </w:rPr>
        <w:t>trace</w:t>
      </w:r>
      <w:r w:rsidRPr="008C49FB">
        <w:rPr>
          <w:rFonts w:asciiTheme="minorHAnsi" w:eastAsia="PMingLiU" w:hAnsiTheme="minorHAnsi" w:cstheme="minorHAnsi"/>
          <w:lang w:eastAsia="zh-TW"/>
        </w:rPr>
        <w:t xml:space="preserve"> amount of La (~</w:t>
      </w:r>
      <w:r w:rsidR="00965DE9">
        <w:rPr>
          <w:rFonts w:asciiTheme="minorHAnsi" w:eastAsia="PMingLiU" w:hAnsiTheme="minorHAnsi" w:cstheme="minorHAnsi"/>
          <w:lang w:eastAsia="zh-TW"/>
        </w:rPr>
        <w:t>0.5</w:t>
      </w:r>
      <w:r w:rsidRPr="008C49FB">
        <w:rPr>
          <w:rFonts w:asciiTheme="minorHAnsi" w:eastAsia="PMingLiU" w:hAnsiTheme="minorHAnsi" w:cstheme="minorHAnsi"/>
          <w:lang w:eastAsia="zh-TW"/>
        </w:rPr>
        <w:t>% atomic ratio with respect to total transition metal ions) leads to stable high capacities. All the electrochemical enhancement of the La</w:t>
      </w:r>
      <w:r w:rsidRPr="008C49FB">
        <w:rPr>
          <w:rFonts w:asciiTheme="minorHAnsi" w:eastAsia="PMingLiU" w:hAnsiTheme="minorHAnsi" w:cstheme="minorHAnsi"/>
          <w:vertAlign w:val="superscript"/>
          <w:lang w:eastAsia="zh-TW"/>
        </w:rPr>
        <w:t>3+</w:t>
      </w:r>
      <w:r w:rsidRPr="008C49FB">
        <w:rPr>
          <w:rFonts w:asciiTheme="minorHAnsi" w:eastAsia="PMingLiU" w:hAnsiTheme="minorHAnsi" w:cstheme="minorHAnsi"/>
          <w:lang w:eastAsia="zh-TW"/>
        </w:rPr>
        <w:t xml:space="preserve">-introduced materials </w:t>
      </w:r>
      <w:r w:rsidR="0083688B">
        <w:rPr>
          <w:rFonts w:asciiTheme="minorHAnsi" w:eastAsia="PMingLiU" w:hAnsiTheme="minorHAnsi" w:cstheme="minorHAnsi"/>
          <w:lang w:eastAsia="zh-TW"/>
        </w:rPr>
        <w:t>are associated with</w:t>
      </w:r>
      <w:r w:rsidRPr="008C49FB">
        <w:rPr>
          <w:rFonts w:asciiTheme="minorHAnsi" w:eastAsia="PMingLiU" w:hAnsiTheme="minorHAnsi" w:cstheme="minorHAnsi"/>
          <w:lang w:eastAsia="zh-TW"/>
        </w:rPr>
        <w:t xml:space="preserve"> the strong La–O bond can stabilize the bulk layered structure and a small amount of the perovskite phase derived after excess doping can possibly protect the particles from electrolyte-erosion as well as maintain oxygen and Li</w:t>
      </w:r>
      <w:r w:rsidRPr="008C49FB">
        <w:rPr>
          <w:rFonts w:asciiTheme="minorHAnsi" w:eastAsia="PMingLiU" w:hAnsiTheme="minorHAnsi" w:cstheme="minorHAnsi"/>
          <w:vertAlign w:val="superscript"/>
          <w:lang w:eastAsia="zh-TW"/>
        </w:rPr>
        <w:t>+</w:t>
      </w:r>
      <w:r w:rsidRPr="008C49FB">
        <w:rPr>
          <w:rFonts w:asciiTheme="minorHAnsi" w:eastAsia="PMingLiU" w:hAnsiTheme="minorHAnsi" w:cstheme="minorHAnsi"/>
          <w:lang w:eastAsia="zh-TW"/>
        </w:rPr>
        <w:t xml:space="preserve"> vacancies.</w:t>
      </w:r>
    </w:p>
    <w:p w14:paraId="3B4029A5" w14:textId="77777777" w:rsidR="008C49FB" w:rsidRPr="008C49FB" w:rsidRDefault="008C49FB" w:rsidP="008C49FB">
      <w:pPr>
        <w:spacing w:afterLines="30" w:after="72"/>
        <w:contextualSpacing/>
        <w:jc w:val="both"/>
        <w:rPr>
          <w:rFonts w:asciiTheme="minorHAnsi" w:eastAsia="PMingLiU" w:hAnsiTheme="minorHAnsi" w:cstheme="minorHAnsi"/>
          <w:b/>
          <w:lang w:eastAsia="zh-TW"/>
        </w:rPr>
      </w:pPr>
      <w:r w:rsidRPr="008C49FB">
        <w:rPr>
          <w:rFonts w:asciiTheme="minorHAnsi" w:eastAsia="PMingLiU" w:hAnsiTheme="minorHAnsi" w:cstheme="minorHAnsi"/>
          <w:b/>
          <w:lang w:eastAsia="zh-TW"/>
        </w:rPr>
        <w:t xml:space="preserve">Acknowledgements </w:t>
      </w:r>
    </w:p>
    <w:p w14:paraId="278A672D" w14:textId="5AA66DB5" w:rsidR="008C49FB" w:rsidRPr="008C49FB" w:rsidRDefault="0083688B" w:rsidP="008C49FB">
      <w:pPr>
        <w:spacing w:afterLines="30" w:after="72"/>
        <w:contextualSpacing/>
        <w:jc w:val="both"/>
        <w:rPr>
          <w:rFonts w:asciiTheme="minorHAnsi" w:eastAsia="PMingLiU" w:hAnsiTheme="minorHAnsi" w:cstheme="minorHAnsi"/>
          <w:lang w:eastAsia="zh-TW"/>
        </w:rPr>
      </w:pPr>
      <w:r w:rsidRPr="0083688B">
        <w:rPr>
          <w:rFonts w:asciiTheme="minorHAnsi" w:eastAsia="PMingLiU" w:hAnsiTheme="minorHAnsi" w:cstheme="minorHAnsi"/>
          <w:lang w:eastAsia="zh-TW"/>
        </w:rPr>
        <w:t>Funding supports from ARC through its LP and DP programs and BAJC Research and Development project are acknowledged.</w:t>
      </w:r>
    </w:p>
    <w:p w14:paraId="03A4E0B9" w14:textId="77777777" w:rsidR="008C49FB" w:rsidRPr="008C49FB" w:rsidRDefault="008C49FB" w:rsidP="008C49FB">
      <w:pPr>
        <w:spacing w:afterLines="30" w:after="72"/>
        <w:contextualSpacing/>
        <w:jc w:val="both"/>
        <w:rPr>
          <w:rFonts w:asciiTheme="minorHAnsi" w:eastAsia="PMingLiU" w:hAnsiTheme="minorHAnsi" w:cstheme="minorHAnsi"/>
          <w:lang w:eastAsia="zh-TW"/>
        </w:rPr>
      </w:pPr>
    </w:p>
    <w:p w14:paraId="674DD599" w14:textId="77777777" w:rsidR="008C49FB" w:rsidRPr="008C49FB" w:rsidRDefault="008C49FB" w:rsidP="008C49FB">
      <w:pPr>
        <w:spacing w:afterLines="30" w:after="72"/>
        <w:contextualSpacing/>
        <w:jc w:val="both"/>
        <w:rPr>
          <w:rFonts w:asciiTheme="minorHAnsi" w:hAnsiTheme="minorHAnsi" w:cstheme="minorHAnsi"/>
          <w:b/>
        </w:rPr>
      </w:pPr>
      <w:r w:rsidRPr="008C49FB">
        <w:rPr>
          <w:rFonts w:asciiTheme="minorHAnsi" w:hAnsiTheme="minorHAnsi" w:cstheme="minorHAnsi"/>
          <w:b/>
        </w:rPr>
        <w:t>References</w:t>
      </w:r>
    </w:p>
    <w:p w14:paraId="300837DC" w14:textId="77777777" w:rsidR="008C49FB" w:rsidRPr="008C49FB" w:rsidRDefault="008C49FB" w:rsidP="008C49FB">
      <w:pPr>
        <w:pStyle w:val="ListParagraph"/>
        <w:numPr>
          <w:ilvl w:val="0"/>
          <w:numId w:val="2"/>
        </w:numPr>
        <w:snapToGrid w:val="0"/>
        <w:spacing w:before="40"/>
        <w:ind w:right="-164" w:firstLineChars="0"/>
        <w:rPr>
          <w:rFonts w:cstheme="minorHAnsi"/>
          <w:noProof/>
          <w:sz w:val="20"/>
          <w:szCs w:val="20"/>
        </w:rPr>
      </w:pPr>
      <w:r w:rsidRPr="008C49FB">
        <w:rPr>
          <w:rFonts w:cstheme="minorHAnsi"/>
          <w:noProof/>
          <w:sz w:val="20"/>
          <w:szCs w:val="20"/>
        </w:rPr>
        <w:t xml:space="preserve">L. Croguennec, M. R. Palacin, </w:t>
      </w:r>
      <w:r w:rsidRPr="008C49FB">
        <w:rPr>
          <w:rFonts w:cstheme="minorHAnsi"/>
          <w:i/>
          <w:noProof/>
          <w:sz w:val="20"/>
          <w:szCs w:val="20"/>
        </w:rPr>
        <w:t>J. Am. Chem. Soc.</w:t>
      </w:r>
      <w:r w:rsidRPr="008C49FB">
        <w:rPr>
          <w:rFonts w:cstheme="minorHAnsi"/>
          <w:noProof/>
          <w:sz w:val="20"/>
          <w:szCs w:val="20"/>
        </w:rPr>
        <w:t xml:space="preserve">, 2015, </w:t>
      </w:r>
      <w:r w:rsidRPr="008C49FB">
        <w:rPr>
          <w:rFonts w:cstheme="minorHAnsi"/>
          <w:b/>
          <w:noProof/>
          <w:sz w:val="20"/>
          <w:szCs w:val="20"/>
        </w:rPr>
        <w:t>137</w:t>
      </w:r>
      <w:r w:rsidRPr="008C49FB">
        <w:rPr>
          <w:rFonts w:cstheme="minorHAnsi"/>
          <w:noProof/>
          <w:sz w:val="20"/>
          <w:szCs w:val="20"/>
        </w:rPr>
        <w:t>, 3140</w:t>
      </w:r>
      <w:r w:rsidRPr="008C49FB">
        <w:rPr>
          <w:rFonts w:eastAsia="PMingLiU" w:cstheme="minorHAnsi"/>
          <w:sz w:val="18"/>
          <w:szCs w:val="18"/>
          <w:lang w:eastAsia="zh-TW"/>
        </w:rPr>
        <w:t>.</w:t>
      </w:r>
    </w:p>
    <w:p w14:paraId="4653AE44" w14:textId="77777777" w:rsidR="008C49FB" w:rsidRPr="008C49FB" w:rsidRDefault="008C49FB" w:rsidP="008C49FB">
      <w:pPr>
        <w:pStyle w:val="ListParagraph"/>
        <w:numPr>
          <w:ilvl w:val="0"/>
          <w:numId w:val="2"/>
        </w:numPr>
        <w:snapToGrid w:val="0"/>
        <w:spacing w:before="40"/>
        <w:ind w:right="-164" w:firstLineChars="0"/>
        <w:rPr>
          <w:rFonts w:cstheme="minorHAnsi"/>
          <w:noProof/>
          <w:sz w:val="20"/>
          <w:szCs w:val="20"/>
        </w:rPr>
      </w:pPr>
      <w:r w:rsidRPr="008C49FB">
        <w:rPr>
          <w:rFonts w:cstheme="minorHAnsi"/>
          <w:noProof/>
          <w:sz w:val="20"/>
          <w:szCs w:val="20"/>
        </w:rPr>
        <w:t xml:space="preserve">M. M. Thackeray, S.-H. Kang, C. S. Johnson, J. T. Vaughey, R. Benedek, S. Hackney, </w:t>
      </w:r>
      <w:r w:rsidRPr="008C49FB">
        <w:rPr>
          <w:rFonts w:cstheme="minorHAnsi"/>
          <w:i/>
          <w:noProof/>
          <w:sz w:val="20"/>
          <w:szCs w:val="20"/>
        </w:rPr>
        <w:t>J. Mater. Chem.</w:t>
      </w:r>
      <w:r w:rsidRPr="008C49FB">
        <w:rPr>
          <w:rFonts w:cstheme="minorHAnsi"/>
          <w:noProof/>
          <w:sz w:val="20"/>
          <w:szCs w:val="20"/>
        </w:rPr>
        <w:t xml:space="preserve">, 2007, </w:t>
      </w:r>
      <w:r w:rsidRPr="008C49FB">
        <w:rPr>
          <w:rFonts w:cstheme="minorHAnsi"/>
          <w:b/>
          <w:noProof/>
          <w:sz w:val="20"/>
          <w:szCs w:val="20"/>
        </w:rPr>
        <w:t>17</w:t>
      </w:r>
      <w:r w:rsidRPr="008C49FB">
        <w:rPr>
          <w:rFonts w:cstheme="minorHAnsi"/>
          <w:noProof/>
          <w:sz w:val="20"/>
          <w:szCs w:val="20"/>
        </w:rPr>
        <w:t>, 3112.</w:t>
      </w:r>
    </w:p>
    <w:p w14:paraId="13513B26" w14:textId="77777777" w:rsidR="008C49FB" w:rsidRPr="008C49FB" w:rsidRDefault="008C49FB" w:rsidP="008C49FB">
      <w:pPr>
        <w:pStyle w:val="NormalWeb"/>
        <w:numPr>
          <w:ilvl w:val="0"/>
          <w:numId w:val="2"/>
        </w:numPr>
        <w:spacing w:before="0" w:beforeAutospacing="0" w:afterLines="30" w:after="72" w:afterAutospacing="0"/>
        <w:contextualSpacing/>
        <w:jc w:val="both"/>
        <w:rPr>
          <w:rFonts w:asciiTheme="minorHAnsi" w:hAnsiTheme="minorHAnsi" w:cstheme="minorHAnsi"/>
          <w:b/>
          <w:sz w:val="20"/>
          <w:szCs w:val="18"/>
        </w:rPr>
      </w:pPr>
      <w:r w:rsidRPr="008C49FB">
        <w:rPr>
          <w:rFonts w:asciiTheme="minorHAnsi" w:hAnsiTheme="minorHAnsi" w:cstheme="minorHAnsi"/>
          <w:sz w:val="20"/>
          <w:szCs w:val="18"/>
        </w:rPr>
        <w:t xml:space="preserve">J Zheng, S Myeong, W Cho, P Yan, J Xiao, C Wang, J Cho, J Zhang, </w:t>
      </w:r>
      <w:r w:rsidRPr="008C49FB">
        <w:rPr>
          <w:rFonts w:asciiTheme="minorHAnsi" w:hAnsiTheme="minorHAnsi" w:cstheme="minorHAnsi"/>
          <w:i/>
          <w:sz w:val="20"/>
          <w:szCs w:val="18"/>
        </w:rPr>
        <w:t>Adv. Energy Mater.</w:t>
      </w:r>
      <w:r w:rsidRPr="008C49FB">
        <w:rPr>
          <w:rFonts w:asciiTheme="minorHAnsi" w:hAnsiTheme="minorHAnsi" w:cstheme="minorHAnsi"/>
          <w:sz w:val="20"/>
          <w:szCs w:val="18"/>
        </w:rPr>
        <w:t xml:space="preserve"> 2017, </w:t>
      </w:r>
      <w:r w:rsidRPr="008C49FB">
        <w:rPr>
          <w:rFonts w:asciiTheme="minorHAnsi" w:hAnsiTheme="minorHAnsi" w:cstheme="minorHAnsi"/>
          <w:b/>
          <w:sz w:val="20"/>
          <w:szCs w:val="18"/>
        </w:rPr>
        <w:t>7</w:t>
      </w:r>
      <w:r w:rsidRPr="008C49FB">
        <w:rPr>
          <w:rFonts w:asciiTheme="minorHAnsi" w:hAnsiTheme="minorHAnsi" w:cstheme="minorHAnsi"/>
          <w:sz w:val="20"/>
          <w:szCs w:val="18"/>
        </w:rPr>
        <w:t>, 1601284.</w:t>
      </w:r>
    </w:p>
    <w:p w14:paraId="19A0A76F" w14:textId="77777777" w:rsidR="00F97620" w:rsidRPr="008C49FB" w:rsidRDefault="00F97620" w:rsidP="009A4CFF">
      <w:pPr>
        <w:ind w:left="284" w:right="282"/>
        <w:jc w:val="both"/>
        <w:rPr>
          <w:rFonts w:asciiTheme="minorHAnsi" w:hAnsiTheme="minorHAnsi" w:cstheme="minorHAnsi"/>
          <w:sz w:val="22"/>
          <w:szCs w:val="22"/>
          <w:lang w:val="en-AU"/>
        </w:rPr>
      </w:pPr>
    </w:p>
    <w:sectPr w:rsidR="00F97620" w:rsidRPr="008C49FB" w:rsidSect="000A6D19">
      <w:pgSz w:w="11906" w:h="16838"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680F1" w14:textId="77777777" w:rsidR="005C70F6" w:rsidRDefault="005C70F6" w:rsidP="00C01271">
      <w:r>
        <w:separator/>
      </w:r>
    </w:p>
  </w:endnote>
  <w:endnote w:type="continuationSeparator" w:id="0">
    <w:p w14:paraId="077D90C3" w14:textId="77777777" w:rsidR="005C70F6" w:rsidRDefault="005C70F6" w:rsidP="00C0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A8B30" w14:textId="77777777" w:rsidR="005C70F6" w:rsidRDefault="005C70F6" w:rsidP="00C01271">
      <w:r>
        <w:separator/>
      </w:r>
    </w:p>
  </w:footnote>
  <w:footnote w:type="continuationSeparator" w:id="0">
    <w:p w14:paraId="224786EA" w14:textId="77777777" w:rsidR="005C70F6" w:rsidRDefault="005C70F6" w:rsidP="00C0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1558F"/>
    <w:multiLevelType w:val="hybridMultilevel"/>
    <w:tmpl w:val="B734C7A8"/>
    <w:lvl w:ilvl="0" w:tplc="101E99A2">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SwNLawMDEzsTQ1MDZU0lEKTi0uzszPAykwqgUACBF2niwAAAA="/>
  </w:docVars>
  <w:rsids>
    <w:rsidRoot w:val="002226BB"/>
    <w:rsid w:val="0004118E"/>
    <w:rsid w:val="00045573"/>
    <w:rsid w:val="000A6D19"/>
    <w:rsid w:val="001A21AD"/>
    <w:rsid w:val="002078AD"/>
    <w:rsid w:val="002226BB"/>
    <w:rsid w:val="00225236"/>
    <w:rsid w:val="002272B0"/>
    <w:rsid w:val="002E7C87"/>
    <w:rsid w:val="00300B92"/>
    <w:rsid w:val="0030585E"/>
    <w:rsid w:val="00387491"/>
    <w:rsid w:val="00447188"/>
    <w:rsid w:val="00483B05"/>
    <w:rsid w:val="004E28B9"/>
    <w:rsid w:val="004E5450"/>
    <w:rsid w:val="005226A8"/>
    <w:rsid w:val="0052345D"/>
    <w:rsid w:val="0055229D"/>
    <w:rsid w:val="00562D19"/>
    <w:rsid w:val="0059609A"/>
    <w:rsid w:val="00597659"/>
    <w:rsid w:val="005C70F6"/>
    <w:rsid w:val="005E48A2"/>
    <w:rsid w:val="005F19FF"/>
    <w:rsid w:val="00641190"/>
    <w:rsid w:val="006448F3"/>
    <w:rsid w:val="006722C7"/>
    <w:rsid w:val="006B3866"/>
    <w:rsid w:val="00711813"/>
    <w:rsid w:val="00724E3C"/>
    <w:rsid w:val="00743C46"/>
    <w:rsid w:val="00755DF0"/>
    <w:rsid w:val="0083688B"/>
    <w:rsid w:val="008909C9"/>
    <w:rsid w:val="008C49FB"/>
    <w:rsid w:val="00947B77"/>
    <w:rsid w:val="00965DE9"/>
    <w:rsid w:val="00997C34"/>
    <w:rsid w:val="009A4CFF"/>
    <w:rsid w:val="009B2641"/>
    <w:rsid w:val="009E2228"/>
    <w:rsid w:val="009F06D6"/>
    <w:rsid w:val="00A266B4"/>
    <w:rsid w:val="00B86B84"/>
    <w:rsid w:val="00BC5FCC"/>
    <w:rsid w:val="00C01271"/>
    <w:rsid w:val="00C60A71"/>
    <w:rsid w:val="00CC165A"/>
    <w:rsid w:val="00D55F3B"/>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NormalWeb">
    <w:name w:val="Normal (Web)"/>
    <w:basedOn w:val="Normal"/>
    <w:rsid w:val="008C49FB"/>
    <w:pPr>
      <w:spacing w:before="100" w:beforeAutospacing="1" w:after="100" w:afterAutospacing="1"/>
    </w:pPr>
    <w:rPr>
      <w:rFonts w:ascii="Verdana" w:eastAsia="Calibri" w:hAnsi="Verdana"/>
      <w:noProof/>
      <w:sz w:val="22"/>
      <w:szCs w:val="22"/>
    </w:rPr>
  </w:style>
  <w:style w:type="paragraph" w:styleId="ListParagraph">
    <w:name w:val="List Paragraph"/>
    <w:basedOn w:val="Normal"/>
    <w:uiPriority w:val="34"/>
    <w:qFormat/>
    <w:rsid w:val="008C49FB"/>
    <w:pPr>
      <w:widowControl w:val="0"/>
      <w:ind w:firstLineChars="200" w:firstLine="420"/>
      <w:jc w:val="both"/>
    </w:pPr>
    <w:rPr>
      <w:rFonts w:asciiTheme="minorHAnsi" w:eastAsiaTheme="minorEastAsia" w:hAnsiTheme="minorHAnsi" w:cstheme="minorBidi"/>
      <w:kern w:val="2"/>
      <w:sz w:val="21"/>
      <w:szCs w:val="22"/>
      <w:lang w:eastAsia="zh-CN"/>
    </w:rPr>
  </w:style>
  <w:style w:type="paragraph" w:styleId="Header">
    <w:name w:val="header"/>
    <w:basedOn w:val="Normal"/>
    <w:link w:val="HeaderChar"/>
    <w:uiPriority w:val="99"/>
    <w:unhideWhenUsed/>
    <w:rsid w:val="00C01271"/>
    <w:pPr>
      <w:tabs>
        <w:tab w:val="center" w:pos="4513"/>
        <w:tab w:val="right" w:pos="9026"/>
      </w:tabs>
    </w:pPr>
  </w:style>
  <w:style w:type="character" w:customStyle="1" w:styleId="HeaderChar">
    <w:name w:val="Header Char"/>
    <w:basedOn w:val="DefaultParagraphFont"/>
    <w:link w:val="Header"/>
    <w:uiPriority w:val="99"/>
    <w:rsid w:val="00C01271"/>
    <w:rPr>
      <w:sz w:val="24"/>
      <w:szCs w:val="24"/>
      <w:lang w:val="en-US"/>
    </w:rPr>
  </w:style>
  <w:style w:type="paragraph" w:styleId="Footer">
    <w:name w:val="footer"/>
    <w:basedOn w:val="Normal"/>
    <w:link w:val="FooterChar"/>
    <w:uiPriority w:val="99"/>
    <w:unhideWhenUsed/>
    <w:rsid w:val="00C01271"/>
    <w:pPr>
      <w:tabs>
        <w:tab w:val="center" w:pos="4513"/>
        <w:tab w:val="right" w:pos="9026"/>
      </w:tabs>
    </w:pPr>
  </w:style>
  <w:style w:type="character" w:customStyle="1" w:styleId="FooterChar">
    <w:name w:val="Footer Char"/>
    <w:basedOn w:val="DefaultParagraphFont"/>
    <w:link w:val="Footer"/>
    <w:uiPriority w:val="99"/>
    <w:rsid w:val="00C0127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4715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Xiaobo Zhu</cp:lastModifiedBy>
  <cp:revision>5</cp:revision>
  <cp:lastPrinted>2013-06-13T05:15:00Z</cp:lastPrinted>
  <dcterms:created xsi:type="dcterms:W3CDTF">2019-09-02T11:26:00Z</dcterms:created>
  <dcterms:modified xsi:type="dcterms:W3CDTF">2019-09-02T11:45:00Z</dcterms:modified>
</cp:coreProperties>
</file>