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7C82" w14:textId="77777777" w:rsidR="00105BF6" w:rsidRDefault="00105BF6" w:rsidP="00C315D2">
      <w:pPr>
        <w:spacing w:after="0" w:line="240" w:lineRule="auto"/>
        <w:rPr>
          <w:rFonts w:ascii="Arial" w:eastAsia="Calibri" w:hAnsi="Arial" w:cs="Calibri"/>
          <w:b/>
          <w:bCs/>
          <w:kern w:val="0"/>
          <w:lang w:val="en-US"/>
          <w14:ligatures w14:val="none"/>
        </w:rPr>
      </w:pPr>
      <w:r w:rsidRPr="00105BF6">
        <w:rPr>
          <w:rFonts w:ascii="Arial" w:eastAsia="Calibri" w:hAnsi="Arial" w:cs="Calibri"/>
          <w:b/>
          <w:bCs/>
          <w:kern w:val="0"/>
          <w:lang w:val="en-US"/>
          <w14:ligatures w14:val="none"/>
        </w:rPr>
        <w:t>How Do They Stack Up? Reconstitution and Quality Comparison of Piperacillin/Tazobactam Injectables</w:t>
      </w:r>
    </w:p>
    <w:p w14:paraId="662DCB2D" w14:textId="77777777" w:rsidR="00E2104B" w:rsidRDefault="00E2104B" w:rsidP="00C315D2">
      <w:pPr>
        <w:spacing w:after="0" w:line="240" w:lineRule="auto"/>
        <w:rPr>
          <w:rFonts w:ascii="Arial" w:eastAsia="Calibri" w:hAnsi="Arial" w:cs="Calibri"/>
          <w:b/>
          <w:bCs/>
          <w:kern w:val="0"/>
          <w:lang w:val="en-US"/>
          <w14:ligatures w14:val="none"/>
        </w:rPr>
      </w:pPr>
    </w:p>
    <w:p w14:paraId="5DB110CE" w14:textId="266ACF0A" w:rsidR="00D93E21" w:rsidRDefault="00D93E21" w:rsidP="4FE71DF4">
      <w:pPr>
        <w:spacing w:after="0" w:line="240" w:lineRule="auto"/>
        <w:rPr>
          <w:rFonts w:ascii="Arial" w:eastAsia="Calibri" w:hAnsi="Arial" w:cs="Calibri"/>
          <w:bCs/>
          <w:kern w:val="0"/>
          <w:sz w:val="20"/>
          <w:szCs w:val="20"/>
          <w14:ligatures w14:val="none"/>
        </w:rPr>
      </w:pPr>
      <w:proofErr w:type="spellStart"/>
      <w:r>
        <w:rPr>
          <w:rFonts w:ascii="Arial" w:eastAsia="Calibri" w:hAnsi="Arial" w:cs="Calibri"/>
          <w:bCs/>
          <w:kern w:val="0"/>
          <w:sz w:val="20"/>
          <w:szCs w:val="20"/>
          <w14:ligatures w14:val="none"/>
        </w:rPr>
        <w:t>Yunmei</w:t>
      </w:r>
      <w:proofErr w:type="spellEnd"/>
      <w:r>
        <w:rPr>
          <w:rFonts w:ascii="Arial" w:eastAsia="Calibri" w:hAnsi="Arial" w:cs="Calibri"/>
          <w:bCs/>
          <w:kern w:val="0"/>
          <w:sz w:val="20"/>
          <w:szCs w:val="20"/>
          <w14:ligatures w14:val="none"/>
        </w:rPr>
        <w:t xml:space="preserve"> Song</w:t>
      </w:r>
      <w:r w:rsidR="00102CA8" w:rsidRPr="00102CA8">
        <w:rPr>
          <w:rFonts w:ascii="Arial" w:eastAsia="Calibri" w:hAnsi="Arial" w:cs="Calibri"/>
          <w:bCs/>
          <w:kern w:val="0"/>
          <w:sz w:val="20"/>
          <w:szCs w:val="20"/>
          <w:vertAlign w:val="superscript"/>
          <w14:ligatures w14:val="none"/>
        </w:rPr>
        <w:t>1</w:t>
      </w:r>
      <w:r w:rsidR="009B71C9">
        <w:rPr>
          <w:rFonts w:ascii="Arial" w:eastAsia="Calibri" w:hAnsi="Arial" w:cs="Calibri"/>
          <w:bCs/>
          <w:kern w:val="0"/>
          <w:sz w:val="20"/>
          <w:szCs w:val="20"/>
          <w14:ligatures w14:val="none"/>
        </w:rPr>
        <w:t>, Souha H. Youssef</w:t>
      </w:r>
      <w:r w:rsidR="00102CA8" w:rsidRPr="00102CA8">
        <w:rPr>
          <w:rFonts w:ascii="Arial" w:eastAsia="Calibri" w:hAnsi="Arial" w:cs="Calibri"/>
          <w:bCs/>
          <w:kern w:val="0"/>
          <w:sz w:val="20"/>
          <w:szCs w:val="20"/>
          <w:vertAlign w:val="superscript"/>
          <w14:ligatures w14:val="none"/>
        </w:rPr>
        <w:t>1</w:t>
      </w:r>
      <w:r w:rsidR="009B71C9">
        <w:rPr>
          <w:rFonts w:ascii="Arial" w:eastAsia="Calibri" w:hAnsi="Arial" w:cs="Calibri"/>
          <w:bCs/>
          <w:kern w:val="0"/>
          <w:sz w:val="20"/>
          <w:szCs w:val="20"/>
          <w14:ligatures w14:val="none"/>
        </w:rPr>
        <w:t xml:space="preserve">, Hartley </w:t>
      </w:r>
      <w:r w:rsidR="00102CA8">
        <w:rPr>
          <w:rFonts w:ascii="Arial" w:eastAsia="Calibri" w:hAnsi="Arial" w:cs="Calibri"/>
          <w:bCs/>
          <w:kern w:val="0"/>
          <w:sz w:val="20"/>
          <w:szCs w:val="20"/>
          <w14:ligatures w14:val="none"/>
        </w:rPr>
        <w:t>Atkinson</w:t>
      </w:r>
      <w:r w:rsidR="00102CA8" w:rsidRPr="00102CA8">
        <w:rPr>
          <w:rFonts w:ascii="Arial" w:eastAsia="Calibri" w:hAnsi="Arial" w:cs="Calibri"/>
          <w:bCs/>
          <w:kern w:val="0"/>
          <w:sz w:val="20"/>
          <w:szCs w:val="20"/>
          <w:vertAlign w:val="superscript"/>
          <w14:ligatures w14:val="none"/>
        </w:rPr>
        <w:t>2</w:t>
      </w:r>
      <w:r w:rsidR="00102CA8">
        <w:rPr>
          <w:rFonts w:ascii="Arial" w:eastAsia="Calibri" w:hAnsi="Arial" w:cs="Calibri"/>
          <w:bCs/>
          <w:kern w:val="0"/>
          <w:sz w:val="20"/>
          <w:szCs w:val="20"/>
          <w14:ligatures w14:val="none"/>
        </w:rPr>
        <w:t>, Sanjay Garg</w:t>
      </w:r>
      <w:r w:rsidR="00102CA8" w:rsidRPr="00102CA8">
        <w:rPr>
          <w:rFonts w:ascii="Arial" w:eastAsia="Calibri" w:hAnsi="Arial" w:cs="Calibri"/>
          <w:bCs/>
          <w:kern w:val="0"/>
          <w:sz w:val="20"/>
          <w:szCs w:val="20"/>
          <w:vertAlign w:val="superscript"/>
          <w14:ligatures w14:val="none"/>
        </w:rPr>
        <w:t>1</w:t>
      </w:r>
    </w:p>
    <w:p w14:paraId="137D4547" w14:textId="606A00E4" w:rsidR="00C315D2" w:rsidRDefault="00E2104B" w:rsidP="4FE71DF4">
      <w:pPr>
        <w:spacing w:after="0" w:line="240" w:lineRule="auto"/>
        <w:rPr>
          <w:rFonts w:ascii="Arial" w:eastAsia="Calibri" w:hAnsi="Arial" w:cs="Calibri"/>
          <w:bCs/>
          <w:kern w:val="0"/>
          <w:sz w:val="20"/>
          <w:szCs w:val="20"/>
          <w14:ligatures w14:val="none"/>
        </w:rPr>
      </w:pPr>
      <w:r w:rsidRPr="00E2104B">
        <w:rPr>
          <w:rFonts w:ascii="Arial" w:eastAsia="Calibri" w:hAnsi="Arial" w:cs="Calibri"/>
          <w:bCs/>
          <w:kern w:val="0"/>
          <w:sz w:val="20"/>
          <w:szCs w:val="20"/>
          <w14:ligatures w14:val="none"/>
        </w:rPr>
        <w:t>Clinical and Health Sciences, University of South Australia, Adelaide</w:t>
      </w:r>
      <w:r w:rsidR="00AF043C" w:rsidRPr="00AF043C">
        <w:rPr>
          <w:rFonts w:ascii="Arial" w:eastAsia="Calibri" w:hAnsi="Arial" w:cs="Calibri"/>
          <w:bCs/>
          <w:kern w:val="0"/>
          <w:sz w:val="20"/>
          <w:szCs w:val="20"/>
          <w:vertAlign w:val="superscript"/>
          <w14:ligatures w14:val="none"/>
        </w:rPr>
        <w:t>1</w:t>
      </w:r>
      <w:r w:rsidRPr="00E2104B">
        <w:rPr>
          <w:rFonts w:ascii="Arial" w:eastAsia="Calibri" w:hAnsi="Arial" w:cs="Calibri"/>
          <w:bCs/>
          <w:kern w:val="0"/>
          <w:sz w:val="20"/>
          <w:szCs w:val="20"/>
          <w14:ligatures w14:val="none"/>
        </w:rPr>
        <w:t>, Australia</w:t>
      </w:r>
    </w:p>
    <w:p w14:paraId="14BF017A" w14:textId="6C85B47D" w:rsidR="00AF043C" w:rsidRPr="00102CA8" w:rsidRDefault="002C7C87" w:rsidP="4FE71DF4">
      <w:pPr>
        <w:spacing w:after="0" w:line="240" w:lineRule="auto"/>
        <w:rPr>
          <w:rFonts w:ascii="Arial" w:eastAsia="Calibri" w:hAnsi="Arial" w:cs="Calibri"/>
          <w:bCs/>
          <w:kern w:val="0"/>
          <w:sz w:val="20"/>
          <w:szCs w:val="20"/>
          <w14:ligatures w14:val="none"/>
        </w:rPr>
      </w:pPr>
      <w:r w:rsidRPr="00102CA8">
        <w:rPr>
          <w:rFonts w:ascii="Arial" w:eastAsia="Calibri" w:hAnsi="Arial" w:cs="Calibri"/>
          <w:bCs/>
          <w:kern w:val="0"/>
          <w:sz w:val="20"/>
          <w:szCs w:val="20"/>
          <w14:ligatures w14:val="none"/>
        </w:rPr>
        <w:t>R&amp;D Division, AFT Pharmaceuticals Pty Ltd</w:t>
      </w:r>
      <w:r w:rsidRPr="00102CA8">
        <w:rPr>
          <w:rFonts w:ascii="Arial" w:eastAsia="Calibri" w:hAnsi="Arial" w:cs="Calibri"/>
          <w:bCs/>
          <w:kern w:val="0"/>
          <w:sz w:val="20"/>
          <w:szCs w:val="20"/>
          <w:vertAlign w:val="superscript"/>
          <w14:ligatures w14:val="none"/>
        </w:rPr>
        <w:t>2</w:t>
      </w:r>
      <w:r w:rsidRPr="00102CA8">
        <w:rPr>
          <w:rFonts w:ascii="Arial" w:eastAsia="Calibri" w:hAnsi="Arial" w:cs="Calibri"/>
          <w:bCs/>
          <w:kern w:val="0"/>
          <w:sz w:val="20"/>
          <w:szCs w:val="20"/>
          <w14:ligatures w14:val="none"/>
        </w:rPr>
        <w:t>, Sydney, NSW, Australia</w:t>
      </w:r>
    </w:p>
    <w:p w14:paraId="2DD37039" w14:textId="14600946" w:rsidR="00C315D2" w:rsidRPr="00C315D2" w:rsidRDefault="00C315D2" w:rsidP="00C315D2">
      <w:pPr>
        <w:spacing w:after="0" w:line="240" w:lineRule="auto"/>
        <w:rPr>
          <w:rFonts w:ascii="Arial" w:eastAsia="Calibri" w:hAnsi="Arial" w:cs="Calibri"/>
          <w:bCs/>
          <w:kern w:val="0"/>
          <w:sz w:val="20"/>
          <w:szCs w:val="20"/>
          <w14:ligatures w14:val="none"/>
        </w:rPr>
      </w:pPr>
    </w:p>
    <w:p w14:paraId="2385039D" w14:textId="529D6DD1" w:rsidR="00C315D2"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E2104B" w:rsidRPr="00E2104B">
        <w:rPr>
          <w:rFonts w:ascii="Arial" w:eastAsia="Calibri" w:hAnsi="Arial" w:cs="Calibri"/>
          <w:bCs/>
          <w:kern w:val="0"/>
          <w:sz w:val="20"/>
          <w:szCs w:val="20"/>
          <w14:ligatures w14:val="none"/>
        </w:rPr>
        <w:t>Piperacillin 4 g/Tazobactam 500 mg is a commonly used broad-spectrum antibiotic combination for the treatment of infections requiring intravenous</w:t>
      </w:r>
      <w:r w:rsidR="00981666">
        <w:rPr>
          <w:rFonts w:ascii="Arial" w:eastAsia="Calibri" w:hAnsi="Arial" w:cs="Calibri"/>
          <w:bCs/>
          <w:kern w:val="0"/>
          <w:sz w:val="20"/>
          <w:szCs w:val="20"/>
          <w14:ligatures w14:val="none"/>
        </w:rPr>
        <w:t xml:space="preserve"> (IV)</w:t>
      </w:r>
      <w:r w:rsidR="00E2104B" w:rsidRPr="00E2104B">
        <w:rPr>
          <w:rFonts w:ascii="Arial" w:eastAsia="Calibri" w:hAnsi="Arial" w:cs="Calibri"/>
          <w:bCs/>
          <w:kern w:val="0"/>
          <w:sz w:val="20"/>
          <w:szCs w:val="20"/>
          <w14:ligatures w14:val="none"/>
        </w:rPr>
        <w:t xml:space="preserve"> therapy. In clinical settings, timely and consistent reconstitution of injectable antibiotics is critical to ensure rapid drug availability, maintain dosing accuracy, and support workflow efficiency. This study aimed to evaluate and compare the reconstitution characteristics of three commercially available Piperacillin/Tazobactam products, with a focus on </w:t>
      </w:r>
      <w:r w:rsidR="00981666" w:rsidRPr="00981666">
        <w:rPr>
          <w:rFonts w:ascii="Arial" w:eastAsia="Calibri" w:hAnsi="Arial" w:cs="Calibri"/>
          <w:bCs/>
          <w:kern w:val="0"/>
          <w:sz w:val="20"/>
          <w:szCs w:val="20"/>
          <w14:ligatures w14:val="none"/>
        </w:rPr>
        <w:t>reconstitution characteristics and key quality attributes</w:t>
      </w:r>
      <w:r w:rsidR="00C315D2" w:rsidRPr="00C315D2">
        <w:rPr>
          <w:rFonts w:ascii="Arial" w:eastAsia="Calibri" w:hAnsi="Arial" w:cs="Calibri"/>
          <w:bCs/>
          <w:kern w:val="0"/>
          <w:sz w:val="20"/>
          <w:szCs w:val="20"/>
          <w14:ligatures w14:val="none"/>
        </w:rPr>
        <w:t>.</w:t>
      </w:r>
    </w:p>
    <w:p w14:paraId="6A28D0C4" w14:textId="77777777" w:rsidR="00AE1974" w:rsidRPr="00C315D2" w:rsidRDefault="00AE1974" w:rsidP="00C315D2">
      <w:pPr>
        <w:spacing w:after="0" w:line="240" w:lineRule="auto"/>
        <w:jc w:val="both"/>
        <w:rPr>
          <w:rFonts w:ascii="Arial" w:eastAsia="Calibri" w:hAnsi="Arial" w:cs="Calibri"/>
          <w:bCs/>
          <w:kern w:val="0"/>
          <w:sz w:val="20"/>
          <w:szCs w:val="20"/>
          <w:lang w:val="en-US"/>
          <w14:ligatures w14:val="none"/>
        </w:rPr>
      </w:pPr>
    </w:p>
    <w:p w14:paraId="6C47FC34" w14:textId="77777777" w:rsidR="00AE1974"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981666" w:rsidRPr="00981666">
        <w:rPr>
          <w:rFonts w:ascii="Arial" w:eastAsia="Calibri" w:hAnsi="Arial" w:cs="Calibri"/>
          <w:bCs/>
          <w:kern w:val="0"/>
          <w:sz w:val="20"/>
          <w:szCs w:val="20"/>
          <w14:ligatures w14:val="none"/>
        </w:rPr>
        <w:t xml:space="preserve">Three brands of Piperacillin/Tazobactam </w:t>
      </w:r>
      <w:r w:rsidR="00981666">
        <w:rPr>
          <w:rFonts w:ascii="Arial" w:eastAsia="Calibri" w:hAnsi="Arial" w:cs="Calibri"/>
          <w:bCs/>
          <w:kern w:val="0"/>
          <w:sz w:val="20"/>
          <w:szCs w:val="20"/>
          <w14:ligatures w14:val="none"/>
        </w:rPr>
        <w:t>IV injections (</w:t>
      </w:r>
      <w:r w:rsidR="00981666" w:rsidRPr="00981666">
        <w:rPr>
          <w:rFonts w:ascii="Arial" w:eastAsia="Calibri" w:hAnsi="Arial" w:cs="Calibri"/>
          <w:bCs/>
          <w:kern w:val="0"/>
          <w:sz w:val="20"/>
          <w:szCs w:val="20"/>
          <w14:ligatures w14:val="none"/>
        </w:rPr>
        <w:t>AFT, Sandoz, and Fresenius-Kabi</w:t>
      </w:r>
      <w:r w:rsidR="00981666">
        <w:rPr>
          <w:rFonts w:ascii="Arial" w:eastAsia="Calibri" w:hAnsi="Arial" w:cs="Calibri"/>
          <w:bCs/>
          <w:kern w:val="0"/>
          <w:sz w:val="20"/>
          <w:szCs w:val="20"/>
          <w14:ligatures w14:val="none"/>
        </w:rPr>
        <w:t xml:space="preserve">) </w:t>
      </w:r>
      <w:r w:rsidR="00981666" w:rsidRPr="00981666">
        <w:rPr>
          <w:rFonts w:ascii="Arial" w:eastAsia="Calibri" w:hAnsi="Arial" w:cs="Calibri"/>
          <w:bCs/>
          <w:kern w:val="0"/>
          <w:sz w:val="20"/>
          <w:szCs w:val="20"/>
          <w14:ligatures w14:val="none"/>
        </w:rPr>
        <w:t xml:space="preserve">were assessed. Each vial was reconstituted with sterile water for injection </w:t>
      </w:r>
      <w:r w:rsidR="00981666">
        <w:rPr>
          <w:rFonts w:ascii="Arial" w:eastAsia="Calibri" w:hAnsi="Arial" w:cs="Calibri"/>
          <w:bCs/>
          <w:kern w:val="0"/>
          <w:sz w:val="20"/>
          <w:szCs w:val="20"/>
          <w14:ligatures w14:val="none"/>
        </w:rPr>
        <w:t>as per pamphlet instructions and</w:t>
      </w:r>
      <w:r w:rsidR="00981666" w:rsidRPr="00981666">
        <w:rPr>
          <w:rFonts w:ascii="Arial" w:eastAsia="Calibri" w:hAnsi="Arial" w:cs="Calibri"/>
          <w:bCs/>
          <w:kern w:val="0"/>
          <w:sz w:val="20"/>
          <w:szCs w:val="20"/>
          <w14:ligatures w14:val="none"/>
        </w:rPr>
        <w:t xml:space="preserve"> agitated at a controlled speed of 200 revolutions per minute to standardise the mixing process. The reconstitution time</w:t>
      </w:r>
      <w:r w:rsidR="00981666">
        <w:rPr>
          <w:rFonts w:ascii="Arial" w:eastAsia="Calibri" w:hAnsi="Arial" w:cs="Calibri"/>
          <w:bCs/>
          <w:kern w:val="0"/>
          <w:sz w:val="20"/>
          <w:szCs w:val="20"/>
          <w14:ligatures w14:val="none"/>
        </w:rPr>
        <w:t xml:space="preserve"> was measured</w:t>
      </w:r>
      <w:r w:rsidR="00981666" w:rsidRPr="00981666">
        <w:rPr>
          <w:rFonts w:ascii="Arial" w:eastAsia="Calibri" w:hAnsi="Arial" w:cs="Calibri"/>
          <w:bCs/>
          <w:kern w:val="0"/>
          <w:sz w:val="20"/>
          <w:szCs w:val="20"/>
          <w14:ligatures w14:val="none"/>
        </w:rPr>
        <w:t xml:space="preserve">, defined as the time required to obtain a clear, particle-free solution. Additional assessments included pH measurement immediately after reconstitution and qualitative analysis of particulate matter using </w:t>
      </w:r>
      <w:r w:rsidR="00981666">
        <w:rPr>
          <w:rFonts w:ascii="Arial" w:eastAsia="Calibri" w:hAnsi="Arial" w:cs="Calibri"/>
          <w:bCs/>
          <w:kern w:val="0"/>
          <w:sz w:val="20"/>
          <w:szCs w:val="20"/>
          <w14:ligatures w14:val="none"/>
        </w:rPr>
        <w:t>light</w:t>
      </w:r>
      <w:r w:rsidR="00981666" w:rsidRPr="00981666">
        <w:rPr>
          <w:rFonts w:ascii="Arial" w:eastAsia="Calibri" w:hAnsi="Arial" w:cs="Calibri"/>
          <w:bCs/>
          <w:kern w:val="0"/>
          <w:sz w:val="20"/>
          <w:szCs w:val="20"/>
          <w14:ligatures w14:val="none"/>
        </w:rPr>
        <w:t xml:space="preserve"> microscopy</w:t>
      </w:r>
      <w:r w:rsidR="00981666">
        <w:rPr>
          <w:rFonts w:ascii="Arial" w:eastAsia="Calibri" w:hAnsi="Arial" w:cs="Calibri"/>
          <w:bCs/>
          <w:kern w:val="0"/>
          <w:sz w:val="20"/>
          <w:szCs w:val="20"/>
          <w14:ligatures w14:val="none"/>
        </w:rPr>
        <w:t xml:space="preserve"> (10x)</w:t>
      </w:r>
      <w:r w:rsidR="00981666" w:rsidRPr="00981666">
        <w:rPr>
          <w:rFonts w:ascii="Arial" w:eastAsia="Calibri" w:hAnsi="Arial" w:cs="Calibri"/>
          <w:bCs/>
          <w:kern w:val="0"/>
          <w:sz w:val="20"/>
          <w:szCs w:val="20"/>
          <w14:ligatures w14:val="none"/>
        </w:rPr>
        <w:t>.</w:t>
      </w:r>
    </w:p>
    <w:p w14:paraId="48C0479A" w14:textId="3ADDDBDA"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Cs/>
          <w:kern w:val="0"/>
          <w:sz w:val="20"/>
          <w:szCs w:val="20"/>
          <w14:ligatures w14:val="none"/>
        </w:rPr>
        <w:t xml:space="preserve"> </w:t>
      </w:r>
    </w:p>
    <w:p w14:paraId="58EE2702" w14:textId="379EB019" w:rsidR="00C315D2" w:rsidRDefault="00795378" w:rsidP="2021B9E9">
      <w:pPr>
        <w:spacing w:after="0" w:line="240" w:lineRule="auto"/>
        <w:jc w:val="both"/>
        <w:rPr>
          <w:rFonts w:ascii="Arial" w:eastAsia="Calibri" w:hAnsi="Arial" w:cs="Calibri"/>
          <w:kern w:val="0"/>
          <w:sz w:val="20"/>
          <w:szCs w:val="20"/>
          <w:lang w:val="en-US"/>
          <w14:ligatures w14:val="none"/>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117FF9" w:rsidRPr="00117FF9">
        <w:rPr>
          <w:rFonts w:ascii="Arial" w:eastAsia="Calibri" w:hAnsi="Arial" w:cs="Calibri"/>
          <w:kern w:val="0"/>
          <w:sz w:val="20"/>
          <w:szCs w:val="20"/>
          <w:lang w:val="en-US"/>
          <w14:ligatures w14:val="none"/>
        </w:rPr>
        <w:t>AFT showed the shortest and most consistent reconstitution times (4.51 ± 0.29 min), followed by Sandoz (13.69 ± 1.71 min) and Fresenius-Kabi (16.38 ± 1.47 min)</w:t>
      </w:r>
      <w:r w:rsidR="008B25E9">
        <w:rPr>
          <w:rFonts w:ascii="Arial" w:eastAsia="Calibri" w:hAnsi="Arial" w:cs="Calibri"/>
          <w:kern w:val="0"/>
          <w:sz w:val="20"/>
          <w:szCs w:val="20"/>
          <w:lang w:val="en-US"/>
          <w14:ligatures w14:val="none"/>
        </w:rPr>
        <w:t xml:space="preserve"> (Figure 1)</w:t>
      </w:r>
      <w:r w:rsidR="00117FF9" w:rsidRPr="00117FF9">
        <w:rPr>
          <w:rFonts w:ascii="Arial" w:eastAsia="Calibri" w:hAnsi="Arial" w:cs="Calibri"/>
          <w:kern w:val="0"/>
          <w:sz w:val="20"/>
          <w:szCs w:val="20"/>
          <w:lang w:val="en-US"/>
          <w14:ligatures w14:val="none"/>
        </w:rPr>
        <w:t xml:space="preserve">. pH measurements also varied significantly </w:t>
      </w:r>
      <w:r w:rsidR="00117FF9">
        <w:rPr>
          <w:rFonts w:ascii="Arial" w:eastAsia="Calibri" w:hAnsi="Arial" w:cs="Calibri"/>
          <w:kern w:val="0"/>
          <w:sz w:val="20"/>
          <w:szCs w:val="20"/>
          <w:lang w:val="en-US"/>
          <w14:ligatures w14:val="none"/>
        </w:rPr>
        <w:t>(</w:t>
      </w:r>
      <w:r w:rsidR="00117FF9" w:rsidRPr="00117FF9">
        <w:rPr>
          <w:rFonts w:ascii="Arial" w:eastAsia="Calibri" w:hAnsi="Arial" w:cs="Calibri"/>
          <w:kern w:val="0"/>
          <w:sz w:val="20"/>
          <w:szCs w:val="20"/>
          <w:lang w:val="en-US"/>
          <w14:ligatures w14:val="none"/>
        </w:rPr>
        <w:t>p &lt; 0.0001), with AFT exhibiting the highest pH (6.37 ± 0.03), followed by Sandoz (6.14 ± 0.05) and Fresenius-Kabi (5.96 ± 0.01). All products showed complete dissolution under microscopy, with no visible particulate matter.</w:t>
      </w:r>
    </w:p>
    <w:p w14:paraId="32CD08B2" w14:textId="77777777" w:rsidR="001E0B69" w:rsidRPr="00C315D2" w:rsidRDefault="001E0B69" w:rsidP="2021B9E9">
      <w:pPr>
        <w:spacing w:after="0" w:line="240" w:lineRule="auto"/>
        <w:jc w:val="both"/>
        <w:rPr>
          <w:rFonts w:ascii="Arial" w:eastAsia="Calibri" w:hAnsi="Arial" w:cs="Calibri"/>
          <w:kern w:val="0"/>
          <w:sz w:val="20"/>
          <w:szCs w:val="20"/>
          <w:lang w:val="en-US"/>
          <w14:ligatures w14:val="none"/>
        </w:rPr>
      </w:pPr>
    </w:p>
    <w:p w14:paraId="777A9E0F" w14:textId="41363FA5" w:rsidR="2021B9E9" w:rsidRDefault="001E0B69" w:rsidP="00C2058E">
      <w:pPr>
        <w:spacing w:after="0" w:line="240" w:lineRule="auto"/>
        <w:jc w:val="center"/>
        <w:rPr>
          <w:rFonts w:ascii="Arial" w:eastAsia="Calibri" w:hAnsi="Arial" w:cs="Calibri"/>
          <w:sz w:val="20"/>
          <w:szCs w:val="20"/>
          <w:lang w:val="en-US"/>
        </w:rPr>
      </w:pPr>
      <w:r>
        <w:rPr>
          <w:rFonts w:ascii="Arial" w:eastAsia="Calibri" w:hAnsi="Arial" w:cs="Calibri"/>
          <w:noProof/>
          <w:sz w:val="20"/>
          <w:szCs w:val="20"/>
          <w:lang w:val="en-US"/>
        </w:rPr>
        <w:drawing>
          <wp:inline distT="0" distB="0" distL="0" distR="0" wp14:anchorId="4D3513A2" wp14:editId="691C6BFB">
            <wp:extent cx="4682379" cy="3067050"/>
            <wp:effectExtent l="0" t="0" r="4445" b="0"/>
            <wp:docPr id="7905426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8134" cy="3090470"/>
                    </a:xfrm>
                    <a:prstGeom prst="rect">
                      <a:avLst/>
                    </a:prstGeom>
                    <a:noFill/>
                    <a:ln>
                      <a:noFill/>
                    </a:ln>
                  </pic:spPr>
                </pic:pic>
              </a:graphicData>
            </a:graphic>
          </wp:inline>
        </w:drawing>
      </w:r>
    </w:p>
    <w:p w14:paraId="7D8D06B7" w14:textId="77777777" w:rsidR="000A320F" w:rsidRDefault="000A320F" w:rsidP="00C315D2">
      <w:pPr>
        <w:spacing w:after="0" w:line="240" w:lineRule="auto"/>
        <w:jc w:val="both"/>
        <w:rPr>
          <w:rFonts w:ascii="Arial" w:eastAsia="Calibri" w:hAnsi="Arial" w:cs="Calibri"/>
          <w:b/>
          <w:bCs/>
          <w:kern w:val="0"/>
          <w:sz w:val="20"/>
          <w:szCs w:val="20"/>
          <w:lang w:val="en-GB"/>
          <w14:ligatures w14:val="none"/>
        </w:rPr>
      </w:pPr>
    </w:p>
    <w:p w14:paraId="37683296" w14:textId="09EDA985" w:rsidR="00C315D2" w:rsidRDefault="00C315D2" w:rsidP="00C315D2">
      <w:pPr>
        <w:spacing w:after="0" w:line="240" w:lineRule="auto"/>
        <w:jc w:val="both"/>
        <w:rPr>
          <w:rFonts w:ascii="Arial" w:eastAsia="Calibri" w:hAnsi="Arial" w:cs="Calibri"/>
          <w:b/>
          <w:bCs/>
          <w:kern w:val="0"/>
          <w:sz w:val="20"/>
          <w:szCs w:val="20"/>
          <w:lang w:val="en-GB"/>
          <w14:ligatures w14:val="none"/>
        </w:rPr>
      </w:pPr>
      <w:r w:rsidRPr="2021B9E9">
        <w:rPr>
          <w:rFonts w:ascii="Arial" w:eastAsia="Calibri" w:hAnsi="Arial" w:cs="Calibri"/>
          <w:b/>
          <w:bCs/>
          <w:kern w:val="0"/>
          <w:sz w:val="20"/>
          <w:szCs w:val="20"/>
          <w:lang w:val="en-GB"/>
          <w14:ligatures w14:val="none"/>
        </w:rPr>
        <w:t xml:space="preserve">Figure 1. </w:t>
      </w:r>
      <w:r w:rsidR="00C2058E">
        <w:rPr>
          <w:rFonts w:ascii="Arial" w:eastAsia="Calibri" w:hAnsi="Arial" w:cs="Calibri"/>
          <w:kern w:val="0"/>
          <w:sz w:val="20"/>
          <w:szCs w:val="20"/>
          <w:lang w:val="en-GB"/>
          <w14:ligatures w14:val="none"/>
        </w:rPr>
        <w:t>R</w:t>
      </w:r>
      <w:r w:rsidR="00C2058E" w:rsidRPr="00C2058E">
        <w:rPr>
          <w:rFonts w:ascii="Arial" w:eastAsia="Calibri" w:hAnsi="Arial" w:cs="Calibri"/>
          <w:kern w:val="0"/>
          <w:sz w:val="20"/>
          <w:szCs w:val="20"/>
          <w:lang w:val="en-GB"/>
          <w14:ligatures w14:val="none"/>
        </w:rPr>
        <w:t xml:space="preserve">econstitution times of Piperacillin-Tazobactam injectable vials sourced from </w:t>
      </w:r>
      <w:r w:rsidR="00C2058E">
        <w:rPr>
          <w:rFonts w:ascii="Arial" w:eastAsia="Calibri" w:hAnsi="Arial" w:cs="Calibri"/>
          <w:kern w:val="0"/>
          <w:sz w:val="20"/>
          <w:szCs w:val="20"/>
          <w:lang w:val="en-GB"/>
          <w14:ligatures w14:val="none"/>
        </w:rPr>
        <w:t xml:space="preserve">different </w:t>
      </w:r>
      <w:r w:rsidR="00C2058E" w:rsidRPr="00C2058E">
        <w:rPr>
          <w:rFonts w:ascii="Arial" w:eastAsia="Calibri" w:hAnsi="Arial" w:cs="Calibri"/>
          <w:kern w:val="0"/>
          <w:sz w:val="20"/>
          <w:szCs w:val="20"/>
          <w:lang w:val="en-GB"/>
          <w14:ligatures w14:val="none"/>
        </w:rPr>
        <w:t>brands</w:t>
      </w:r>
      <w:r w:rsidRPr="2021B9E9">
        <w:rPr>
          <w:rFonts w:ascii="Arial" w:eastAsia="Calibri" w:hAnsi="Arial" w:cs="Calibri"/>
          <w:b/>
          <w:bCs/>
          <w:kern w:val="0"/>
          <w:sz w:val="20"/>
          <w:szCs w:val="20"/>
          <w:lang w:val="en-GB"/>
          <w14:ligatures w14:val="none"/>
        </w:rPr>
        <w:t xml:space="preserve"> </w:t>
      </w:r>
    </w:p>
    <w:p w14:paraId="567834CD" w14:textId="77777777" w:rsidR="00C2058E" w:rsidRDefault="00C2058E" w:rsidP="00C315D2">
      <w:pPr>
        <w:spacing w:after="0" w:line="240" w:lineRule="auto"/>
        <w:jc w:val="both"/>
        <w:rPr>
          <w:rFonts w:ascii="Arial" w:eastAsia="Calibri" w:hAnsi="Arial" w:cs="Calibri"/>
          <w:b/>
          <w:kern w:val="0"/>
          <w:sz w:val="20"/>
          <w:szCs w:val="20"/>
          <w14:ligatures w14:val="none"/>
        </w:rPr>
      </w:pPr>
    </w:p>
    <w:p w14:paraId="65E846CD" w14:textId="41682A81" w:rsidR="00C315D2" w:rsidRDefault="00B8473A"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D53F54" w:rsidRPr="00D53F54">
        <w:rPr>
          <w:rFonts w:ascii="Arial" w:eastAsia="Calibri" w:hAnsi="Arial" w:cs="Calibri"/>
          <w:bCs/>
          <w:kern w:val="0"/>
          <w:sz w:val="20"/>
          <w:szCs w:val="20"/>
          <w:lang w:val="en-US"/>
          <w14:ligatures w14:val="none"/>
        </w:rPr>
        <w:t xml:space="preserve">This study demonstrated significant differences in reconstitution time and pH among the three products. AFT </w:t>
      </w:r>
      <w:r w:rsidR="0008045F">
        <w:rPr>
          <w:rFonts w:ascii="Arial" w:eastAsia="Calibri" w:hAnsi="Arial" w:cs="Calibri"/>
          <w:bCs/>
          <w:kern w:val="0"/>
          <w:sz w:val="20"/>
          <w:szCs w:val="20"/>
          <w:lang w:val="en-US"/>
          <w14:ligatures w14:val="none"/>
        </w:rPr>
        <w:t xml:space="preserve">product </w:t>
      </w:r>
      <w:r w:rsidR="00D53F54" w:rsidRPr="00D53F54">
        <w:rPr>
          <w:rFonts w:ascii="Arial" w:eastAsia="Calibri" w:hAnsi="Arial" w:cs="Calibri"/>
          <w:bCs/>
          <w:kern w:val="0"/>
          <w:sz w:val="20"/>
          <w:szCs w:val="20"/>
          <w:lang w:val="en-US"/>
          <w14:ligatures w14:val="none"/>
        </w:rPr>
        <w:t xml:space="preserve">consistently reconstituted fastest and most uniformly, with a stable pH and clear solution, suggesting practical advantages in clinical settings where rapid, reliable preparation is essential. </w:t>
      </w:r>
    </w:p>
    <w:p w14:paraId="35C2B6DA" w14:textId="77777777" w:rsidR="000A320F" w:rsidRPr="00C315D2" w:rsidRDefault="000A320F" w:rsidP="00C315D2">
      <w:pPr>
        <w:spacing w:after="0" w:line="240" w:lineRule="auto"/>
        <w:jc w:val="both"/>
        <w:rPr>
          <w:rFonts w:ascii="Arial" w:eastAsia="Calibri" w:hAnsi="Arial" w:cs="Calibri"/>
          <w:bCs/>
          <w:kern w:val="0"/>
          <w:sz w:val="20"/>
          <w:szCs w:val="20"/>
          <w:lang w:val="en-US"/>
          <w14:ligatures w14:val="none"/>
        </w:rPr>
      </w:pPr>
    </w:p>
    <w:p w14:paraId="2C801966" w14:textId="30BBFF36"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2176B2D3" w14:textId="2117C1FE" w:rsidR="00D53F54" w:rsidRDefault="00D53F54" w:rsidP="00C315D2">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(1) </w:t>
      </w:r>
      <w:r w:rsidRPr="00D53F54">
        <w:rPr>
          <w:rFonts w:ascii="Arial" w:eastAsia="Calibri" w:hAnsi="Arial" w:cs="Calibri"/>
          <w:bCs/>
          <w:kern w:val="0"/>
          <w:sz w:val="20"/>
          <w:szCs w:val="20"/>
          <w:lang w:val="en-US"/>
          <w14:ligatures w14:val="none"/>
        </w:rPr>
        <w:t>Traub-Hoffmann</w:t>
      </w:r>
      <w:r w:rsidR="001B3BEE">
        <w:rPr>
          <w:rFonts w:ascii="Arial" w:eastAsia="Calibri" w:hAnsi="Arial" w:cs="Calibri"/>
          <w:bCs/>
          <w:kern w:val="0"/>
          <w:sz w:val="20"/>
          <w:szCs w:val="20"/>
          <w:lang w:val="en-US"/>
          <w14:ligatures w14:val="none"/>
        </w:rPr>
        <w:t xml:space="preserve">, K. </w:t>
      </w:r>
      <w:r>
        <w:rPr>
          <w:rFonts w:ascii="Arial" w:eastAsia="Calibri" w:hAnsi="Arial" w:cs="Calibri"/>
          <w:bCs/>
          <w:kern w:val="0"/>
          <w:sz w:val="20"/>
          <w:szCs w:val="20"/>
          <w:lang w:val="en-US"/>
          <w14:ligatures w14:val="none"/>
        </w:rPr>
        <w:t>et al</w:t>
      </w:r>
      <w:r w:rsidR="001B3BEE">
        <w:rPr>
          <w:rFonts w:ascii="Arial" w:eastAsia="Calibri" w:hAnsi="Arial" w:cs="Calibri"/>
          <w:bCs/>
          <w:kern w:val="0"/>
          <w:sz w:val="20"/>
          <w:szCs w:val="20"/>
          <w:lang w:val="en-US"/>
          <w14:ligatures w14:val="none"/>
        </w:rPr>
        <w:t xml:space="preserve"> </w:t>
      </w:r>
      <w:r w:rsidR="001B3BEE" w:rsidRPr="001B3BEE">
        <w:rPr>
          <w:rFonts w:ascii="Arial" w:eastAsia="Calibri" w:hAnsi="Arial" w:cs="Calibri"/>
          <w:bCs/>
          <w:kern w:val="0"/>
          <w:sz w:val="20"/>
          <w:szCs w:val="20"/>
          <w:lang w:val="en-US"/>
          <w14:ligatures w14:val="none"/>
        </w:rPr>
        <w:t>(2020) J Pharm Sci 109(1):211–215</w:t>
      </w:r>
      <w:r w:rsidRPr="00D53F54">
        <w:rPr>
          <w:rFonts w:ascii="Arial" w:eastAsia="Calibri" w:hAnsi="Arial" w:cs="Calibri"/>
          <w:bCs/>
          <w:kern w:val="0"/>
          <w:sz w:val="20"/>
          <w:szCs w:val="20"/>
          <w:lang w:val="en-US"/>
          <w14:ligatures w14:val="none"/>
        </w:rPr>
        <w:t>.</w:t>
      </w:r>
    </w:p>
    <w:p w14:paraId="495B1BA5" w14:textId="6053E042" w:rsidR="001B3BEE" w:rsidRPr="009B1CBB" w:rsidRDefault="001B3BEE" w:rsidP="001B3BEE">
      <w:pPr>
        <w:spacing w:after="0" w:line="240" w:lineRule="auto"/>
        <w:jc w:val="both"/>
        <w:rPr>
          <w:rFonts w:ascii="Arial" w:eastAsia="Calibri" w:hAnsi="Arial" w:cs="Calibri"/>
          <w:bCs/>
          <w:kern w:val="0"/>
          <w:sz w:val="20"/>
          <w:szCs w:val="20"/>
          <w:lang w:val="en-US"/>
          <w14:ligatures w14:val="none"/>
        </w:rPr>
      </w:pPr>
      <w:r>
        <w:rPr>
          <w:rFonts w:ascii="Arial" w:eastAsia="Calibri" w:hAnsi="Arial" w:cs="Calibri"/>
          <w:bCs/>
          <w:kern w:val="0"/>
          <w:sz w:val="20"/>
          <w:szCs w:val="20"/>
          <w:lang w:val="en-US"/>
          <w14:ligatures w14:val="none"/>
        </w:rPr>
        <w:t xml:space="preserve">(2) </w:t>
      </w:r>
      <w:r w:rsidRPr="001B3BEE">
        <w:rPr>
          <w:rFonts w:ascii="Arial" w:eastAsia="Calibri" w:hAnsi="Arial" w:cs="Calibri"/>
          <w:bCs/>
          <w:kern w:val="0"/>
          <w:sz w:val="20"/>
          <w:szCs w:val="20"/>
          <w:lang w:val="en-US"/>
          <w14:ligatures w14:val="none"/>
        </w:rPr>
        <w:t xml:space="preserve">Zhang, X. </w:t>
      </w:r>
      <w:r>
        <w:rPr>
          <w:rFonts w:ascii="Arial" w:eastAsia="Calibri" w:hAnsi="Arial" w:cs="Calibri"/>
          <w:bCs/>
          <w:kern w:val="0"/>
          <w:sz w:val="20"/>
          <w:szCs w:val="20"/>
          <w:lang w:val="en-US"/>
          <w14:ligatures w14:val="none"/>
        </w:rPr>
        <w:t>et al</w:t>
      </w:r>
      <w:r w:rsidRPr="001B3BEE">
        <w:rPr>
          <w:rFonts w:ascii="Arial" w:eastAsia="Calibri" w:hAnsi="Arial" w:cs="Calibri"/>
          <w:bCs/>
          <w:kern w:val="0"/>
          <w:sz w:val="20"/>
          <w:szCs w:val="20"/>
          <w:lang w:val="en-US"/>
          <w14:ligatures w14:val="none"/>
        </w:rPr>
        <w:t xml:space="preserve"> (2024) </w:t>
      </w:r>
      <w:proofErr w:type="spellStart"/>
      <w:r w:rsidRPr="001B3BEE">
        <w:rPr>
          <w:rFonts w:ascii="Arial" w:eastAsia="Calibri" w:hAnsi="Arial" w:cs="Calibri"/>
          <w:bCs/>
          <w:kern w:val="0"/>
          <w:sz w:val="20"/>
          <w:szCs w:val="20"/>
          <w:lang w:val="en-US"/>
          <w14:ligatures w14:val="none"/>
        </w:rPr>
        <w:t>Antib</w:t>
      </w:r>
      <w:proofErr w:type="spellEnd"/>
      <w:r w:rsidRPr="001B3BEE">
        <w:rPr>
          <w:rFonts w:ascii="Arial" w:eastAsia="Calibri" w:hAnsi="Arial" w:cs="Calibri"/>
          <w:bCs/>
          <w:kern w:val="0"/>
          <w:sz w:val="20"/>
          <w:szCs w:val="20"/>
          <w:lang w:val="en-US"/>
          <w14:ligatures w14:val="none"/>
        </w:rPr>
        <w:t xml:space="preserve"> Ther 7(1):67–76</w:t>
      </w:r>
      <w:r>
        <w:rPr>
          <w:rFonts w:ascii="Arial" w:eastAsia="Calibri" w:hAnsi="Arial" w:cs="Calibri"/>
          <w:bCs/>
          <w:kern w:val="0"/>
          <w:sz w:val="20"/>
          <w:szCs w:val="20"/>
          <w:lang w:val="en-US"/>
          <w14:ligatures w14:val="none"/>
        </w:rPr>
        <w:t>.</w:t>
      </w:r>
    </w:p>
    <w:sectPr w:rsidR="001B3BEE" w:rsidRPr="009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8045F"/>
    <w:rsid w:val="000A320F"/>
    <w:rsid w:val="00102CA8"/>
    <w:rsid w:val="00105BF6"/>
    <w:rsid w:val="00107368"/>
    <w:rsid w:val="00113BB7"/>
    <w:rsid w:val="00117FF9"/>
    <w:rsid w:val="001340E4"/>
    <w:rsid w:val="001B3BEE"/>
    <w:rsid w:val="001E0B69"/>
    <w:rsid w:val="00201170"/>
    <w:rsid w:val="002017E6"/>
    <w:rsid w:val="00233026"/>
    <w:rsid w:val="00294059"/>
    <w:rsid w:val="002C7C87"/>
    <w:rsid w:val="003206E4"/>
    <w:rsid w:val="003A6D5C"/>
    <w:rsid w:val="003C6D58"/>
    <w:rsid w:val="004258ED"/>
    <w:rsid w:val="004A51B6"/>
    <w:rsid w:val="004C6770"/>
    <w:rsid w:val="00510CF8"/>
    <w:rsid w:val="00575A29"/>
    <w:rsid w:val="00601754"/>
    <w:rsid w:val="006A34BE"/>
    <w:rsid w:val="006F3F1C"/>
    <w:rsid w:val="007141F2"/>
    <w:rsid w:val="007561D8"/>
    <w:rsid w:val="00795378"/>
    <w:rsid w:val="00796206"/>
    <w:rsid w:val="007C367E"/>
    <w:rsid w:val="008071C5"/>
    <w:rsid w:val="008623C2"/>
    <w:rsid w:val="008A7873"/>
    <w:rsid w:val="008B25E9"/>
    <w:rsid w:val="00904FF6"/>
    <w:rsid w:val="00906D34"/>
    <w:rsid w:val="00933DC9"/>
    <w:rsid w:val="00936D4C"/>
    <w:rsid w:val="009523F9"/>
    <w:rsid w:val="009650DF"/>
    <w:rsid w:val="00981666"/>
    <w:rsid w:val="00983D71"/>
    <w:rsid w:val="009B1CBB"/>
    <w:rsid w:val="009B71C9"/>
    <w:rsid w:val="009E66F0"/>
    <w:rsid w:val="00A0516D"/>
    <w:rsid w:val="00AB039B"/>
    <w:rsid w:val="00AE1974"/>
    <w:rsid w:val="00AF043C"/>
    <w:rsid w:val="00B26F56"/>
    <w:rsid w:val="00B4721D"/>
    <w:rsid w:val="00B8473A"/>
    <w:rsid w:val="00BD4926"/>
    <w:rsid w:val="00C2058E"/>
    <w:rsid w:val="00C21815"/>
    <w:rsid w:val="00C315D2"/>
    <w:rsid w:val="00C353D8"/>
    <w:rsid w:val="00CF5A91"/>
    <w:rsid w:val="00D02BB1"/>
    <w:rsid w:val="00D45A74"/>
    <w:rsid w:val="00D53F54"/>
    <w:rsid w:val="00D7428F"/>
    <w:rsid w:val="00D93E21"/>
    <w:rsid w:val="00D97AC1"/>
    <w:rsid w:val="00DB3832"/>
    <w:rsid w:val="00DD71A0"/>
    <w:rsid w:val="00E2104B"/>
    <w:rsid w:val="00EC3746"/>
    <w:rsid w:val="00F539FB"/>
    <w:rsid w:val="00F85528"/>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Souha Youssef</cp:lastModifiedBy>
  <cp:revision>2</cp:revision>
  <dcterms:created xsi:type="dcterms:W3CDTF">2025-07-27T23:56:00Z</dcterms:created>
  <dcterms:modified xsi:type="dcterms:W3CDTF">2025-07-27T23:56:00Z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