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D625" w14:textId="77777777" w:rsidR="00251127" w:rsidRPr="00251127" w:rsidRDefault="00251127" w:rsidP="00251127">
      <w:pPr>
        <w:spacing w:before="240" w:after="240"/>
        <w:jc w:val="both"/>
        <w:rPr>
          <w:rFonts w:asciiTheme="majorHAnsi" w:eastAsia="Calibri" w:hAnsiTheme="majorHAnsi" w:cstheme="majorHAnsi"/>
          <w:b/>
          <w:sz w:val="20"/>
          <w:szCs w:val="20"/>
        </w:rPr>
      </w:pPr>
      <w:r w:rsidRPr="00251127">
        <w:rPr>
          <w:rFonts w:asciiTheme="majorHAnsi" w:eastAsia="Arial" w:hAnsiTheme="majorHAnsi" w:cstheme="majorHAnsi"/>
          <w:b/>
          <w:sz w:val="20"/>
          <w:szCs w:val="20"/>
        </w:rPr>
        <w:t>Model-based assessment of the kinetics of coproporphyrin I (CPI)in a Dose-Escalation Study</w:t>
      </w:r>
    </w:p>
    <w:p w14:paraId="209A936F" w14:textId="1F9CD323" w:rsidR="00251127" w:rsidRPr="00251127" w:rsidRDefault="00251127" w:rsidP="00251127">
      <w:pPr>
        <w:jc w:val="both"/>
        <w:rPr>
          <w:rFonts w:ascii="Arial" w:eastAsia="Arial" w:hAnsi="Arial" w:cs="Arial"/>
          <w:sz w:val="20"/>
          <w:szCs w:val="20"/>
        </w:rPr>
      </w:pPr>
      <w:r w:rsidRPr="00251127">
        <w:rPr>
          <w:rFonts w:asciiTheme="majorHAnsi" w:hAnsiTheme="majorHAnsi" w:cstheme="majorHAnsi"/>
          <w:sz w:val="20"/>
          <w:szCs w:val="20"/>
        </w:rPr>
        <w:t xml:space="preserve">Susan </w:t>
      </w:r>
      <w:proofErr w:type="spellStart"/>
      <w:r w:rsidRPr="00251127">
        <w:rPr>
          <w:rFonts w:asciiTheme="majorHAnsi" w:hAnsiTheme="majorHAnsi" w:cstheme="majorHAnsi"/>
          <w:sz w:val="20"/>
          <w:szCs w:val="20"/>
        </w:rPr>
        <w:t>Nyabate</w:t>
      </w:r>
      <w:proofErr w:type="spellEnd"/>
      <w:r w:rsidRPr="00251127">
        <w:rPr>
          <w:rFonts w:asciiTheme="majorHAnsi" w:hAnsiTheme="majorHAnsi" w:cstheme="majorHAnsi"/>
          <w:sz w:val="20"/>
          <w:szCs w:val="20"/>
        </w:rPr>
        <w:t xml:space="preserve"> Mageto</w:t>
      </w:r>
      <w:r w:rsidRPr="00251127">
        <w:rPr>
          <w:rFonts w:asciiTheme="majorHAnsi" w:hAnsiTheme="majorHAnsi" w:cstheme="majorHAnsi"/>
          <w:sz w:val="20"/>
          <w:szCs w:val="20"/>
          <w:vertAlign w:val="superscript"/>
        </w:rPr>
        <w:t>1</w:t>
      </w:r>
      <w:r w:rsidRPr="00251127">
        <w:rPr>
          <w:rFonts w:asciiTheme="majorHAnsi" w:hAnsiTheme="majorHAnsi" w:cstheme="majorHAnsi"/>
          <w:sz w:val="20"/>
          <w:szCs w:val="20"/>
          <w:vertAlign w:val="superscript"/>
        </w:rPr>
        <w:t>†</w:t>
      </w:r>
      <w:r w:rsidRPr="00251127">
        <w:rPr>
          <w:rFonts w:asciiTheme="majorHAnsi" w:hAnsiTheme="majorHAnsi" w:cstheme="majorHAnsi"/>
          <w:sz w:val="20"/>
          <w:szCs w:val="20"/>
        </w:rPr>
        <w:t>,Sadikalmahdi Abdella</w:t>
      </w:r>
      <w:r w:rsidRPr="00251127">
        <w:rPr>
          <w:rFonts w:asciiTheme="majorHAnsi" w:hAnsiTheme="majorHAnsi" w:cstheme="majorHAnsi"/>
          <w:sz w:val="20"/>
          <w:szCs w:val="20"/>
          <w:vertAlign w:val="superscript"/>
        </w:rPr>
        <w:t>2</w:t>
      </w:r>
      <w:r w:rsidRPr="00251127">
        <w:rPr>
          <w:rFonts w:asciiTheme="majorHAnsi" w:hAnsiTheme="majorHAnsi" w:cstheme="majorHAnsi"/>
          <w:sz w:val="20"/>
          <w:szCs w:val="20"/>
          <w:vertAlign w:val="superscript"/>
        </w:rPr>
        <w:t>†,</w:t>
      </w:r>
      <w:r w:rsidRPr="00251127">
        <w:rPr>
          <w:rFonts w:asciiTheme="majorHAnsi" w:hAnsiTheme="majorHAnsi" w:cstheme="majorHAnsi"/>
          <w:sz w:val="20"/>
          <w:szCs w:val="20"/>
        </w:rPr>
        <w:t xml:space="preserve">  Amira Ghoneim</w:t>
      </w:r>
      <w:r w:rsidRPr="00251127">
        <w:rPr>
          <w:rFonts w:asciiTheme="majorHAnsi" w:hAnsiTheme="majorHAnsi" w:cstheme="majorHAnsi"/>
          <w:sz w:val="20"/>
          <w:szCs w:val="20"/>
          <w:vertAlign w:val="superscript"/>
        </w:rPr>
        <w:t>3</w:t>
      </w:r>
      <w:r w:rsidRPr="00251127">
        <w:rPr>
          <w:rFonts w:asciiTheme="majorHAnsi" w:hAnsiTheme="majorHAnsi" w:cstheme="majorHAnsi"/>
          <w:sz w:val="20"/>
          <w:szCs w:val="20"/>
        </w:rPr>
        <w:t>, Samer Mouksassi</w:t>
      </w:r>
      <w:r w:rsidRPr="00251127">
        <w:rPr>
          <w:rFonts w:asciiTheme="majorHAnsi" w:hAnsiTheme="majorHAnsi" w:cstheme="majorHAnsi"/>
          <w:sz w:val="20"/>
          <w:szCs w:val="20"/>
          <w:vertAlign w:val="superscript"/>
        </w:rPr>
        <w:t>4</w:t>
      </w:r>
      <w:r w:rsidRPr="00251127">
        <w:rPr>
          <w:rFonts w:asciiTheme="majorHAnsi" w:hAnsiTheme="majorHAnsi" w:cstheme="majorHAnsi"/>
          <w:sz w:val="20"/>
          <w:szCs w:val="20"/>
        </w:rPr>
        <w:t xml:space="preserve">, </w:t>
      </w:r>
      <w:proofErr w:type="spellStart"/>
      <w:r w:rsidRPr="00251127">
        <w:rPr>
          <w:rFonts w:asciiTheme="majorHAnsi" w:hAnsiTheme="majorHAnsi" w:cstheme="majorHAnsi"/>
          <w:sz w:val="20"/>
          <w:szCs w:val="20"/>
        </w:rPr>
        <w:t>Goonaseelan</w:t>
      </w:r>
      <w:proofErr w:type="spellEnd"/>
      <w:r w:rsidRPr="00251127">
        <w:rPr>
          <w:rFonts w:asciiTheme="majorHAnsi" w:hAnsiTheme="majorHAnsi" w:cstheme="majorHAnsi"/>
          <w:sz w:val="20"/>
          <w:szCs w:val="20"/>
        </w:rPr>
        <w:t xml:space="preserve"> (Colin) Pillai</w:t>
      </w:r>
      <w:r w:rsidRPr="00251127">
        <w:rPr>
          <w:rFonts w:asciiTheme="majorHAnsi" w:eastAsia="Arial" w:hAnsiTheme="majorHAnsi" w:cstheme="majorHAnsi"/>
          <w:sz w:val="20"/>
          <w:szCs w:val="20"/>
          <w:vertAlign w:val="superscript"/>
        </w:rPr>
        <w:t>5</w:t>
      </w:r>
      <w:r w:rsidRPr="00251127">
        <w:rPr>
          <w:rFonts w:asciiTheme="majorHAnsi" w:hAnsiTheme="majorHAnsi" w:cstheme="majorHAnsi"/>
          <w:sz w:val="20"/>
          <w:szCs w:val="20"/>
        </w:rPr>
        <w:t xml:space="preserve">, </w:t>
      </w:r>
      <w:r w:rsidRPr="00251127">
        <w:rPr>
          <w:rFonts w:asciiTheme="majorHAnsi" w:eastAsia="Arial" w:hAnsiTheme="majorHAnsi" w:cstheme="majorHAnsi"/>
          <w:sz w:val="20"/>
          <w:szCs w:val="20"/>
        </w:rPr>
        <w:t>Sravanthi Cheeti</w:t>
      </w:r>
      <w:r w:rsidRPr="00251127">
        <w:rPr>
          <w:rFonts w:asciiTheme="majorHAnsi" w:eastAsia="Arial" w:hAnsiTheme="majorHAnsi" w:cstheme="majorHAnsi"/>
          <w:sz w:val="20"/>
          <w:szCs w:val="20"/>
          <w:vertAlign w:val="superscript"/>
        </w:rPr>
        <w:t>6</w:t>
      </w:r>
      <w:r w:rsidRPr="00251127">
        <w:rPr>
          <w:rFonts w:asciiTheme="majorHAnsi" w:eastAsia="Arial" w:hAnsiTheme="majorHAnsi" w:cstheme="majorHAnsi"/>
          <w:sz w:val="20"/>
          <w:szCs w:val="20"/>
        </w:rPr>
        <w:t>, Kenta Yoshida</w:t>
      </w:r>
      <w:r w:rsidRPr="00251127">
        <w:rPr>
          <w:rFonts w:asciiTheme="majorHAnsi" w:eastAsia="Arial" w:hAnsiTheme="majorHAnsi" w:cstheme="majorHAnsi"/>
          <w:sz w:val="20"/>
          <w:szCs w:val="20"/>
          <w:vertAlign w:val="superscript"/>
        </w:rPr>
        <w:t>6</w:t>
      </w:r>
      <w:r w:rsidR="00000000">
        <w:rPr>
          <w:rFonts w:ascii="Calibri" w:eastAsia="Calibri" w:hAnsi="Calibri" w:cs="Calibri"/>
          <w:sz w:val="20"/>
          <w:szCs w:val="20"/>
        </w:rPr>
        <w:t xml:space="preserve">. </w:t>
      </w:r>
      <w:r>
        <w:rPr>
          <w:rFonts w:ascii="Arial" w:eastAsia="Arial" w:hAnsi="Arial" w:cs="Arial"/>
          <w:sz w:val="20"/>
          <w:szCs w:val="20"/>
        </w:rPr>
        <w:t xml:space="preserve"> </w:t>
      </w:r>
      <w:r w:rsidRPr="00251127">
        <w:rPr>
          <w:rFonts w:asciiTheme="majorHAnsi" w:eastAsia="Arial" w:hAnsiTheme="majorHAnsi" w:cstheme="majorHAnsi"/>
          <w:sz w:val="20"/>
          <w:szCs w:val="20"/>
          <w:vertAlign w:val="superscript"/>
        </w:rPr>
        <w:t>1</w:t>
      </w:r>
      <w:r w:rsidRPr="00251127">
        <w:rPr>
          <w:rFonts w:asciiTheme="majorHAnsi" w:eastAsia="Arial" w:hAnsiTheme="majorHAnsi" w:cstheme="majorHAnsi"/>
          <w:sz w:val="20"/>
          <w:szCs w:val="20"/>
        </w:rPr>
        <w:t xml:space="preserve">Department of Pharmacology, Kisii University, Kisii, Kenya; </w:t>
      </w:r>
      <w:r w:rsidRPr="00251127">
        <w:rPr>
          <w:rFonts w:asciiTheme="majorHAnsi" w:eastAsia="Arial" w:hAnsiTheme="majorHAnsi" w:cstheme="majorHAnsi"/>
          <w:sz w:val="20"/>
          <w:szCs w:val="20"/>
          <w:vertAlign w:val="superscript"/>
        </w:rPr>
        <w:t>2</w:t>
      </w:r>
      <w:r w:rsidRPr="00251127">
        <w:rPr>
          <w:rFonts w:asciiTheme="majorHAnsi" w:eastAsia="Arial" w:hAnsiTheme="majorHAnsi" w:cstheme="majorHAnsi"/>
          <w:sz w:val="20"/>
          <w:szCs w:val="20"/>
        </w:rPr>
        <w:t>Centre for Pharmaceutical Innovation (CPI), University of South Australia, Adelaide, Australia;</w:t>
      </w:r>
      <w:r w:rsidRPr="00251127">
        <w:rPr>
          <w:rFonts w:asciiTheme="majorHAnsi" w:eastAsia="Arial" w:hAnsiTheme="majorHAnsi" w:cstheme="majorHAnsi"/>
          <w:sz w:val="20"/>
          <w:szCs w:val="20"/>
          <w:vertAlign w:val="superscript"/>
        </w:rPr>
        <w:t>3</w:t>
      </w:r>
      <w:r w:rsidRPr="00251127">
        <w:rPr>
          <w:rFonts w:asciiTheme="majorHAnsi" w:eastAsia="Arial" w:hAnsiTheme="majorHAnsi" w:cstheme="majorHAnsi"/>
          <w:sz w:val="20"/>
          <w:szCs w:val="20"/>
        </w:rPr>
        <w:t xml:space="preserve">Certara, Cairo, Egypt; </w:t>
      </w:r>
      <w:r w:rsidRPr="00251127">
        <w:rPr>
          <w:rFonts w:asciiTheme="majorHAnsi" w:eastAsia="Arial" w:hAnsiTheme="majorHAnsi" w:cstheme="majorHAnsi"/>
          <w:sz w:val="20"/>
          <w:szCs w:val="20"/>
          <w:vertAlign w:val="superscript"/>
        </w:rPr>
        <w:t>4</w:t>
      </w:r>
      <w:r w:rsidRPr="00251127">
        <w:rPr>
          <w:rFonts w:asciiTheme="majorHAnsi" w:eastAsia="Arial" w:hAnsiTheme="majorHAnsi" w:cstheme="majorHAnsi"/>
          <w:sz w:val="20"/>
          <w:szCs w:val="20"/>
        </w:rPr>
        <w:t xml:space="preserve">Department of Bioengineering and Therapeutic Sciences, University of California, San Francisco, California, USA; </w:t>
      </w:r>
      <w:r w:rsidRPr="00251127">
        <w:rPr>
          <w:rFonts w:asciiTheme="majorHAnsi" w:eastAsia="Arial" w:hAnsiTheme="majorHAnsi" w:cstheme="majorHAnsi"/>
          <w:sz w:val="20"/>
          <w:szCs w:val="20"/>
          <w:vertAlign w:val="superscript"/>
        </w:rPr>
        <w:t>5</w:t>
      </w:r>
      <w:r w:rsidRPr="00251127">
        <w:rPr>
          <w:rFonts w:asciiTheme="majorHAnsi" w:eastAsia="Arial" w:hAnsiTheme="majorHAnsi" w:cstheme="majorHAnsi"/>
          <w:sz w:val="20"/>
          <w:szCs w:val="20"/>
        </w:rPr>
        <w:t xml:space="preserve">APT-Africa Fellowship Program, c/o Pharmacometrics Africa NPC, Groote Schuur Hospital, Cape Town, South Africa; </w:t>
      </w:r>
      <w:r w:rsidRPr="00251127">
        <w:rPr>
          <w:rFonts w:asciiTheme="majorHAnsi" w:eastAsia="Arial" w:hAnsiTheme="majorHAnsi" w:cstheme="majorHAnsi"/>
          <w:sz w:val="20"/>
          <w:szCs w:val="20"/>
          <w:vertAlign w:val="superscript"/>
        </w:rPr>
        <w:t>6</w:t>
      </w:r>
      <w:r w:rsidRPr="00251127">
        <w:rPr>
          <w:rFonts w:asciiTheme="majorHAnsi" w:eastAsia="Arial" w:hAnsiTheme="majorHAnsi" w:cstheme="majorHAnsi"/>
          <w:sz w:val="20"/>
          <w:szCs w:val="20"/>
        </w:rPr>
        <w:t>Clinical Pharmacology, Genentech, California, USA</w:t>
      </w:r>
    </w:p>
    <w:p w14:paraId="3D28C31B" w14:textId="54CC3A33" w:rsidR="00570F5E" w:rsidRDefault="00000000">
      <w:pPr>
        <w:widowControl w:v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i/>
          <w:color w:val="000000"/>
          <w:sz w:val="20"/>
          <w:szCs w:val="20"/>
        </w:rPr>
        <w:t xml:space="preserve"> </w:t>
      </w:r>
    </w:p>
    <w:p w14:paraId="5FD1AC29" w14:textId="3D00742E" w:rsidR="00570F5E" w:rsidRPr="00DA012E" w:rsidRDefault="00000000">
      <w:pPr>
        <w:jc w:val="both"/>
        <w:rPr>
          <w:rFonts w:asciiTheme="majorHAnsi" w:eastAsia="Arial" w:hAnsiTheme="majorHAnsi" w:cstheme="majorHAnsi"/>
          <w:bCs/>
          <w:sz w:val="20"/>
          <w:szCs w:val="20"/>
        </w:rPr>
      </w:pPr>
      <w:r w:rsidRPr="00DA012E">
        <w:rPr>
          <w:rFonts w:ascii="Calibri" w:eastAsia="Calibri" w:hAnsi="Calibri" w:cs="Calibri"/>
          <w:bCs/>
          <w:sz w:val="20"/>
          <w:szCs w:val="20"/>
        </w:rPr>
        <w:t xml:space="preserve">Introduction. </w:t>
      </w:r>
      <w:r w:rsidR="00251127" w:rsidRPr="00DA012E">
        <w:rPr>
          <w:rFonts w:asciiTheme="majorHAnsi" w:eastAsia="Arial" w:hAnsiTheme="majorHAnsi" w:cstheme="majorHAnsi"/>
          <w:bCs/>
          <w:sz w:val="20"/>
          <w:szCs w:val="20"/>
        </w:rPr>
        <w:t xml:space="preserve">Organic anion transporting polypeptides (OATPs) play a critical role in hepatic drug uptake and elimination. GDC-X inhibits OATP1B in vitro, raising the risk of clinical DDIs with OATP1B substrates. Coproporphyrin I (CPI) is an endogenous biomarker for OATP1B. </w:t>
      </w:r>
    </w:p>
    <w:p w14:paraId="09C69A6F" w14:textId="1BE50BC0" w:rsidR="00570F5E" w:rsidRPr="00DA012E" w:rsidRDefault="00000000">
      <w:pPr>
        <w:jc w:val="both"/>
        <w:rPr>
          <w:rFonts w:ascii="Calibri" w:eastAsia="Calibri" w:hAnsi="Calibri" w:cs="Calibri"/>
          <w:bCs/>
          <w:sz w:val="20"/>
          <w:szCs w:val="20"/>
        </w:rPr>
      </w:pPr>
      <w:r w:rsidRPr="00DA012E">
        <w:rPr>
          <w:rFonts w:ascii="Calibri" w:eastAsia="Calibri" w:hAnsi="Calibri" w:cs="Calibri"/>
          <w:bCs/>
          <w:sz w:val="20"/>
          <w:szCs w:val="20"/>
        </w:rPr>
        <w:t xml:space="preserve">Aims. </w:t>
      </w:r>
      <w:r w:rsidR="00251127" w:rsidRPr="00DA012E">
        <w:rPr>
          <w:rFonts w:asciiTheme="majorHAnsi" w:eastAsia="Arial" w:hAnsiTheme="majorHAnsi" w:cstheme="majorHAnsi"/>
          <w:bCs/>
          <w:sz w:val="20"/>
          <w:szCs w:val="20"/>
        </w:rPr>
        <w:t xml:space="preserve">This analysis aimed to predict the magnitude of clinical DDIs between GDC-X and rosuvastatin (an OATP1B probe substrate) using a CPI-informed modelling approach. </w:t>
      </w:r>
    </w:p>
    <w:p w14:paraId="231F3944" w14:textId="76C3C300" w:rsidR="00570F5E" w:rsidRPr="00DA012E" w:rsidRDefault="00000000">
      <w:pPr>
        <w:jc w:val="both"/>
        <w:rPr>
          <w:rFonts w:ascii="Calibri" w:eastAsia="Calibri" w:hAnsi="Calibri" w:cs="Calibri"/>
          <w:bCs/>
          <w:sz w:val="20"/>
          <w:szCs w:val="20"/>
        </w:rPr>
      </w:pPr>
      <w:r w:rsidRPr="00DA012E">
        <w:rPr>
          <w:rFonts w:ascii="Calibri" w:eastAsia="Calibri" w:hAnsi="Calibri" w:cs="Calibri"/>
          <w:bCs/>
          <w:sz w:val="20"/>
          <w:szCs w:val="20"/>
        </w:rPr>
        <w:t xml:space="preserve">Methods. </w:t>
      </w:r>
      <w:r w:rsidR="00251127" w:rsidRPr="00DA012E">
        <w:rPr>
          <w:rFonts w:ascii="Calibri" w:eastAsia="Calibri" w:hAnsi="Calibri" w:cs="Calibri"/>
          <w:bCs/>
          <w:sz w:val="20"/>
          <w:szCs w:val="20"/>
        </w:rPr>
        <w:t xml:space="preserve">Data was obtained from a study with four dose groups (200 mg, 400 mg, 800 mg, and 1200 mg) of GDC-X. CPI data were utilised to estimate the in vivo Ki of GDC-X against OATP1Bs using NONMEM, incorporating previously predicted portal vein concentrations of GDC-X from </w:t>
      </w:r>
      <w:proofErr w:type="spellStart"/>
      <w:r w:rsidR="00251127" w:rsidRPr="00DA012E">
        <w:rPr>
          <w:rFonts w:ascii="Calibri" w:eastAsia="Calibri" w:hAnsi="Calibri" w:cs="Calibri"/>
          <w:bCs/>
          <w:sz w:val="20"/>
          <w:szCs w:val="20"/>
        </w:rPr>
        <w:t>Simcyp</w:t>
      </w:r>
      <w:proofErr w:type="spellEnd"/>
      <w:r w:rsidR="00251127" w:rsidRPr="00DA012E">
        <w:rPr>
          <w:rFonts w:ascii="Calibri" w:eastAsia="Calibri" w:hAnsi="Calibri" w:cs="Calibri"/>
          <w:bCs/>
          <w:sz w:val="20"/>
          <w:szCs w:val="20"/>
        </w:rPr>
        <w:t xml:space="preserve">. Visual predictive checks and goodness-of-fit plots were generated. The estimated Ki value was incorporated into a previously developed PBPK model in </w:t>
      </w:r>
      <w:proofErr w:type="spellStart"/>
      <w:r w:rsidR="00251127" w:rsidRPr="00DA012E">
        <w:rPr>
          <w:rFonts w:ascii="Calibri" w:eastAsia="Calibri" w:hAnsi="Calibri" w:cs="Calibri"/>
          <w:bCs/>
          <w:sz w:val="20"/>
          <w:szCs w:val="20"/>
        </w:rPr>
        <w:t>Simcyp</w:t>
      </w:r>
      <w:proofErr w:type="spellEnd"/>
      <w:r w:rsidR="00251127" w:rsidRPr="00DA012E">
        <w:rPr>
          <w:rFonts w:ascii="Calibri" w:eastAsia="Calibri" w:hAnsi="Calibri" w:cs="Calibri"/>
          <w:bCs/>
          <w:sz w:val="20"/>
          <w:szCs w:val="20"/>
        </w:rPr>
        <w:t xml:space="preserve"> to predict the DDI between GDC-X and Rosuvastatin. </w:t>
      </w:r>
    </w:p>
    <w:p w14:paraId="7FE4AE3B" w14:textId="34F300C3" w:rsidR="00570F5E" w:rsidRPr="00DA012E" w:rsidRDefault="00000000">
      <w:pPr>
        <w:jc w:val="both"/>
        <w:rPr>
          <w:rFonts w:ascii="Calibri" w:eastAsia="Calibri" w:hAnsi="Calibri" w:cs="Calibri"/>
          <w:bCs/>
          <w:sz w:val="20"/>
          <w:szCs w:val="20"/>
        </w:rPr>
      </w:pPr>
      <w:r w:rsidRPr="00DA012E">
        <w:rPr>
          <w:rFonts w:ascii="Calibri" w:eastAsia="Calibri" w:hAnsi="Calibri" w:cs="Calibri"/>
          <w:bCs/>
          <w:sz w:val="20"/>
          <w:szCs w:val="20"/>
        </w:rPr>
        <w:t xml:space="preserve">Results. </w:t>
      </w:r>
      <w:r w:rsidR="00DA012E" w:rsidRPr="00DA012E">
        <w:rPr>
          <w:rFonts w:ascii="Calibri" w:eastAsia="Calibri" w:hAnsi="Calibri" w:cs="Calibri"/>
          <w:bCs/>
          <w:sz w:val="20"/>
          <w:szCs w:val="20"/>
        </w:rPr>
        <w:t xml:space="preserve">At the steady-state concentration of GDC-X, CPI concentrations increased across all dose groups compared to pre-dose level. The mean CPI concentration in plasma increased from 0.79 (±0.23) ng/ml at baseline to 1.47 ± 0.16 ng/mL at steady state. The in vivo unbound Ki, OATP1B for GDC-X was about 0.188 µM, approximately fivefold lower than the in vitro (1.05 µM). The predicted CPI concentrations matched the observed concentrations. The predicted CPI Cmax ratio and rosuvastatin AUCR at 1200mg were: 1.8 and 1.5, respectively. Rosuvastatin AUCR increased with the dose. No significant DDI at 200 mg and a weak interaction (AUCR &lt;2) was observed at the other doses. </w:t>
      </w:r>
    </w:p>
    <w:p w14:paraId="4529C6D5" w14:textId="39E19E61" w:rsidR="00570F5E" w:rsidRPr="00DA012E" w:rsidRDefault="00000000" w:rsidP="00DA012E">
      <w:pPr>
        <w:jc w:val="both"/>
        <w:rPr>
          <w:rFonts w:ascii="Calibri" w:eastAsia="Calibri" w:hAnsi="Calibri" w:cs="Calibri"/>
          <w:bCs/>
          <w:sz w:val="20"/>
          <w:szCs w:val="20"/>
        </w:rPr>
      </w:pPr>
      <w:r w:rsidRPr="00DA012E">
        <w:rPr>
          <w:rFonts w:ascii="Calibri" w:eastAsia="Calibri" w:hAnsi="Calibri" w:cs="Calibri"/>
          <w:bCs/>
          <w:sz w:val="20"/>
          <w:szCs w:val="20"/>
        </w:rPr>
        <w:lastRenderedPageBreak/>
        <w:t>Discussion.</w:t>
      </w:r>
      <w:r w:rsidR="00DA012E">
        <w:rPr>
          <w:rFonts w:ascii="Calibri" w:eastAsia="Calibri" w:hAnsi="Calibri" w:cs="Calibri"/>
          <w:bCs/>
          <w:sz w:val="20"/>
          <w:szCs w:val="20"/>
        </w:rPr>
        <w:t xml:space="preserve"> </w:t>
      </w:r>
      <w:r w:rsidR="00DA012E" w:rsidRPr="00DA012E">
        <w:rPr>
          <w:rFonts w:ascii="Calibri" w:eastAsia="Calibri" w:hAnsi="Calibri" w:cs="Calibri"/>
          <w:bCs/>
          <w:sz w:val="20"/>
          <w:szCs w:val="20"/>
        </w:rPr>
        <w:t xml:space="preserve">At the steady-state concentration of GDC-X, CPI concentrations increased across all dose groups compared to pre-dose level. The mean CPI concentration in plasma increased from 0.79 (±0.23) ng/ml at baseline to 1.47 ± 0.16 ng/mL at steady state. The in vivo unbound Ki, OATP1B for GDC-X was about 0.188 µM, approximately fivefold lower than the in vitro (1.05 µM). The predicted CPI concentrations matched the observed concentrations. The predicted CPI Cmax ratio and rosuvastatin AUCR at 1200mg were: 1.8 and 1.5, respectively. Rosuvastatin AUCR increased with the dose. No significant DDI at 200 mg and a weak interaction (AUCR &lt;2) was observed at the other doses. </w:t>
      </w:r>
    </w:p>
    <w:p w14:paraId="27B1385E" w14:textId="77777777" w:rsidR="00DA012E" w:rsidRDefault="00DA012E" w:rsidP="00DA012E">
      <w:pPr>
        <w:jc w:val="both"/>
        <w:rPr>
          <w:rFonts w:ascii="Calibri" w:eastAsia="Calibri" w:hAnsi="Calibri" w:cs="Calibri"/>
          <w:sz w:val="20"/>
          <w:szCs w:val="20"/>
        </w:rPr>
      </w:pPr>
    </w:p>
    <w:p w14:paraId="6EBDC5CC" w14:textId="77777777" w:rsidR="00570F5E" w:rsidRDefault="00000000">
      <w:pPr>
        <w:jc w:val="both"/>
        <w:rPr>
          <w:rFonts w:ascii="Calibri" w:eastAsia="Calibri" w:hAnsi="Calibri" w:cs="Calibri"/>
          <w:sz w:val="20"/>
          <w:szCs w:val="20"/>
        </w:rPr>
      </w:pPr>
      <w:r>
        <w:rPr>
          <w:rFonts w:ascii="Calibri" w:eastAsia="Calibri" w:hAnsi="Calibri" w:cs="Calibri"/>
          <w:sz w:val="20"/>
          <w:szCs w:val="20"/>
        </w:rPr>
        <w:t xml:space="preserve">The text should be as informative as possible. If you have any problems please call Expert Events on +61 7 3848 2100 or </w:t>
      </w:r>
      <w:hyperlink r:id="rId5">
        <w:r>
          <w:rPr>
            <w:rFonts w:ascii="Calibri" w:eastAsia="Calibri" w:hAnsi="Calibri" w:cs="Calibri"/>
            <w:color w:val="0563C1"/>
            <w:sz w:val="20"/>
            <w:szCs w:val="20"/>
            <w:u w:val="single"/>
          </w:rPr>
          <w:t>wcp2026@expertevents.com.au</w:t>
        </w:r>
      </w:hyperlink>
      <w:r>
        <w:rPr>
          <w:rFonts w:ascii="Calibri" w:eastAsia="Calibri" w:hAnsi="Calibri" w:cs="Calibri"/>
          <w:sz w:val="20"/>
          <w:szCs w:val="20"/>
        </w:rPr>
        <w:t xml:space="preserve">. </w:t>
      </w:r>
    </w:p>
    <w:p w14:paraId="015A1CF2" w14:textId="77777777" w:rsidR="00570F5E" w:rsidRDefault="00570F5E">
      <w:pPr>
        <w:jc w:val="both"/>
        <w:rPr>
          <w:rFonts w:ascii="Calibri" w:eastAsia="Calibri" w:hAnsi="Calibri" w:cs="Calibri"/>
          <w:sz w:val="20"/>
          <w:szCs w:val="20"/>
        </w:rPr>
      </w:pPr>
    </w:p>
    <w:p w14:paraId="791530E0" w14:textId="77777777" w:rsidR="00570F5E" w:rsidRDefault="00570F5E">
      <w:pPr>
        <w:jc w:val="both"/>
        <w:rPr>
          <w:rFonts w:ascii="Calibri" w:eastAsia="Calibri" w:hAnsi="Calibri" w:cs="Calibri"/>
          <w:sz w:val="20"/>
          <w:szCs w:val="20"/>
        </w:rPr>
      </w:pPr>
    </w:p>
    <w:p w14:paraId="3D00EDB9" w14:textId="77777777" w:rsidR="00570F5E" w:rsidRDefault="00000000">
      <w:pPr>
        <w:jc w:val="both"/>
        <w:rPr>
          <w:rFonts w:ascii="Calibri" w:eastAsia="Calibri" w:hAnsi="Calibri" w:cs="Calibri"/>
          <w:sz w:val="20"/>
          <w:szCs w:val="20"/>
        </w:rPr>
      </w:pPr>
      <w:r>
        <w:rPr>
          <w:rFonts w:ascii="Calibri" w:eastAsia="Calibri" w:hAnsi="Calibri" w:cs="Calibri"/>
          <w:sz w:val="20"/>
          <w:szCs w:val="20"/>
        </w:rPr>
        <w:t xml:space="preserve">McCartney P (2001) J </w:t>
      </w:r>
      <w:proofErr w:type="spellStart"/>
      <w:r>
        <w:rPr>
          <w:rFonts w:ascii="Calibri" w:eastAsia="Calibri" w:hAnsi="Calibri" w:cs="Calibri"/>
          <w:sz w:val="20"/>
          <w:szCs w:val="20"/>
        </w:rPr>
        <w:t>J</w:t>
      </w:r>
      <w:proofErr w:type="spellEnd"/>
      <w:r>
        <w:rPr>
          <w:rFonts w:ascii="Calibri" w:eastAsia="Calibri" w:hAnsi="Calibri" w:cs="Calibri"/>
          <w:sz w:val="20"/>
          <w:szCs w:val="20"/>
        </w:rPr>
        <w:t xml:space="preserve"> 56:23-33</w:t>
      </w:r>
    </w:p>
    <w:p w14:paraId="67ACAA3F" w14:textId="77777777" w:rsidR="00570F5E" w:rsidRDefault="00000000">
      <w:pPr>
        <w:jc w:val="both"/>
        <w:rPr>
          <w:rFonts w:ascii="Calibri" w:eastAsia="Calibri" w:hAnsi="Calibri" w:cs="Calibri"/>
          <w:sz w:val="20"/>
          <w:szCs w:val="20"/>
        </w:rPr>
      </w:pPr>
      <w:r>
        <w:rPr>
          <w:rFonts w:ascii="Calibri" w:eastAsia="Calibri" w:hAnsi="Calibri" w:cs="Calibri"/>
          <w:sz w:val="20"/>
          <w:szCs w:val="20"/>
        </w:rPr>
        <w:t>Starr R et al (2005) Pharmacology of FAB-4, ed Ono Y. pp 12-23, Tokyo, Abbey Road Press</w:t>
      </w:r>
    </w:p>
    <w:sectPr w:rsidR="00570F5E">
      <w:pgSz w:w="11906" w:h="8391" w:orient="landscape"/>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5E"/>
    <w:rsid w:val="00251127"/>
    <w:rsid w:val="00570F5E"/>
    <w:rsid w:val="00844832"/>
    <w:rsid w:val="00DA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391B5"/>
  <w15:docId w15:val="{199FE725-3F1D-4224-9D56-2F5CDE35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120" w:after="60"/>
      <w:jc w:val="center"/>
      <w:outlineLvl w:val="2"/>
    </w:pPr>
    <w:rPr>
      <w:b/>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Indent3">
    <w:name w:val="Body Text Indent 3"/>
    <w:basedOn w:val="Normal"/>
    <w:pPr>
      <w:suppressAutoHyphens/>
      <w:spacing w:before="120" w:after="120" w:line="1" w:lineRule="atLeast"/>
      <w:ind w:leftChars="-1" w:left="-90" w:hangingChars="1" w:hanging="1"/>
      <w:jc w:val="center"/>
      <w:textDirection w:val="btLr"/>
      <w:textAlignment w:val="top"/>
      <w:outlineLvl w:val="0"/>
    </w:pPr>
    <w:rPr>
      <w:rFonts w:ascii="Times" w:hAnsi="Times"/>
      <w:position w:val="-1"/>
      <w:szCs w:val="20"/>
      <w:lang w:val="en-US"/>
    </w:rPr>
  </w:style>
  <w:style w:type="character" w:customStyle="1" w:styleId="Heading5Char">
    <w:name w:val="Heading 5 Char"/>
    <w:rPr>
      <w:rFonts w:ascii="Calibri" w:eastAsia="PMingLiU" w:hAnsi="Calibri" w:cs="Times New Roman"/>
      <w:b/>
      <w:bCs/>
      <w:i/>
      <w:iCs/>
      <w:w w:val="100"/>
      <w:position w:val="-1"/>
      <w:sz w:val="26"/>
      <w:szCs w:val="26"/>
      <w:effect w:val="none"/>
      <w:vertAlign w:val="baseline"/>
      <w:cs w:val="0"/>
      <w:em w:val="none"/>
      <w:lang w:eastAsia="en-US"/>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en-US"/>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cp2026@expertevents.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7fRn5k1OgygMKwFoHUCwLn50VA==">CgMxLjA4AHIhMUViZ0Ffc2pvYnFkTmhZOVFJUDR0YTRXZzhuNmNJeHdU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484</Words>
  <Characters>2832</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dc:creator>
  <cp:lastModifiedBy>Susan Mageto</cp:lastModifiedBy>
  <cp:revision>2</cp:revision>
  <dcterms:created xsi:type="dcterms:W3CDTF">2025-01-04T00:52:00Z</dcterms:created>
  <dcterms:modified xsi:type="dcterms:W3CDTF">2025-09-15T04:23:00Z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a90cfd8a-f8d7-4b70-aa01-6e75161d96cf</vt:lpwstr>
  </property>
</Properties>
</file>