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A2EB" w14:textId="77777777" w:rsidR="00902752" w:rsidRDefault="00902752" w:rsidP="00902752">
      <w:pPr>
        <w:jc w:val="both"/>
      </w:pPr>
      <w:r>
        <w:rPr>
          <w:rFonts w:ascii="Calibri" w:eastAsia="Calibri" w:hAnsi="Calibri"/>
          <w:b/>
          <w:sz w:val="20"/>
        </w:rPr>
        <w:t>Clinical trial simulation to explore AUC-guided vancomycin dosing</w:t>
      </w:r>
    </w:p>
    <w:p w14:paraId="002005D7" w14:textId="77777777" w:rsidR="000B62B6" w:rsidRPr="000B62B6" w:rsidRDefault="000B62B6" w:rsidP="000B62B6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0B62B6">
        <w:rPr>
          <w:rFonts w:ascii="Calibri" w:hAnsi="Calibri" w:cs="Calibri"/>
          <w:sz w:val="20"/>
          <w:szCs w:val="20"/>
        </w:rPr>
        <w:t>Zehua</w:t>
      </w:r>
      <w:proofErr w:type="spellEnd"/>
      <w:r w:rsidRPr="000B62B6">
        <w:rPr>
          <w:rFonts w:ascii="Calibri" w:hAnsi="Calibri" w:cs="Calibri"/>
          <w:sz w:val="20"/>
          <w:szCs w:val="20"/>
        </w:rPr>
        <w:t xml:space="preserve"> Wang¹, Guangda Ma¹, Eamon J Duffy</w:t>
      </w:r>
      <w:proofErr w:type="gramStart"/>
      <w:r w:rsidRPr="000B62B6">
        <w:rPr>
          <w:rFonts w:ascii="Calibri" w:hAnsi="Calibri" w:cs="Calibri"/>
          <w:sz w:val="20"/>
          <w:szCs w:val="20"/>
        </w:rPr>
        <w:t>²,³</w:t>
      </w:r>
      <w:proofErr w:type="gramEnd"/>
      <w:r w:rsidRPr="000B62B6">
        <w:rPr>
          <w:rFonts w:ascii="Calibri" w:hAnsi="Calibri" w:cs="Calibri"/>
          <w:sz w:val="20"/>
          <w:szCs w:val="20"/>
        </w:rPr>
        <w:t xml:space="preserve">, Jacqueline A Hannam¹. Department of Pharmacology and Clinical Pharmacology, University of Auckland¹, Auckland, New Zealand; School of Pharmacy, University of Auckland², Auckland, New Zealand; </w:t>
      </w:r>
      <w:proofErr w:type="spellStart"/>
      <w:r w:rsidRPr="000B62B6">
        <w:rPr>
          <w:rFonts w:ascii="Calibri" w:hAnsi="Calibri" w:cs="Calibri"/>
          <w:sz w:val="20"/>
          <w:szCs w:val="20"/>
        </w:rPr>
        <w:t>Te</w:t>
      </w:r>
      <w:proofErr w:type="spellEnd"/>
      <w:r w:rsidRPr="000B62B6">
        <w:rPr>
          <w:rFonts w:ascii="Calibri" w:hAnsi="Calibri" w:cs="Calibri"/>
          <w:sz w:val="20"/>
          <w:szCs w:val="20"/>
        </w:rPr>
        <w:t xml:space="preserve"> Toka Tumai Auckland, Health New Zealand³, Auckland, New Zealand.</w:t>
      </w:r>
    </w:p>
    <w:p w14:paraId="27B43208" w14:textId="284FF271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5CBD926" w14:textId="4FAF4021" w:rsidR="00636722" w:rsidRPr="00124AD2" w:rsidRDefault="00636722" w:rsidP="00636722">
      <w:pPr>
        <w:jc w:val="both"/>
        <w:rPr>
          <w:lang w:eastAsia="zh-CN"/>
        </w:rPr>
      </w:pPr>
      <w:r w:rsidRPr="005B3A3C">
        <w:rPr>
          <w:rFonts w:ascii="Calibri" w:eastAsia="Calibri" w:hAnsi="Calibri"/>
          <w:b/>
          <w:bCs/>
          <w:sz w:val="20"/>
        </w:rPr>
        <w:t xml:space="preserve">Introduction. </w:t>
      </w:r>
      <w:r w:rsidR="00F13CD1" w:rsidRPr="00F13CD1">
        <w:rPr>
          <w:rFonts w:ascii="Calibri" w:eastAsia="Calibri" w:hAnsi="Calibri"/>
          <w:sz w:val="20"/>
        </w:rPr>
        <w:t xml:space="preserve">Vancomycin dosing is often adjusted using trough-guided therapeutic drug monitoring (TDM). In Auckland, routine care changed from empirical trough-guided TDM to AUC-guided dosing supported by the Bayesian forecasting tool </w:t>
      </w:r>
      <w:proofErr w:type="spellStart"/>
      <w:r w:rsidR="00F13CD1" w:rsidRPr="00F13CD1">
        <w:rPr>
          <w:rFonts w:ascii="Calibri" w:eastAsia="Calibri" w:hAnsi="Calibri"/>
          <w:sz w:val="20"/>
        </w:rPr>
        <w:t>NextDose</w:t>
      </w:r>
      <w:proofErr w:type="spellEnd"/>
      <w:r w:rsidR="00F13CD1" w:rsidRPr="00F13CD1">
        <w:rPr>
          <w:rFonts w:ascii="Calibri" w:eastAsia="Calibri" w:hAnsi="Calibri"/>
          <w:sz w:val="20"/>
        </w:rPr>
        <w:t xml:space="preserve">. </w:t>
      </w:r>
      <w:r w:rsidR="009056AC" w:rsidRPr="009056AC">
        <w:rPr>
          <w:rFonts w:ascii="Calibri" w:eastAsia="Calibri" w:hAnsi="Calibri"/>
          <w:sz w:val="20"/>
        </w:rPr>
        <w:t>To inform such practice, a clinical trial simulation (CTS)</w:t>
      </w:r>
      <w:r w:rsidR="00CE612C">
        <w:rPr>
          <w:rFonts w:ascii="Calibri" w:hAnsi="Calibri" w:hint="eastAsia"/>
          <w:sz w:val="20"/>
          <w:lang w:eastAsia="zh-CN"/>
        </w:rPr>
        <w:t xml:space="preserve"> tool</w:t>
      </w:r>
      <w:r w:rsidR="009056AC" w:rsidRPr="009056AC">
        <w:rPr>
          <w:rFonts w:ascii="Calibri" w:eastAsia="Calibri" w:hAnsi="Calibri"/>
          <w:sz w:val="20"/>
        </w:rPr>
        <w:t xml:space="preserve"> that reflects both exposure and ward-level execution—initial dosing, sample timing, delayed or omitted doses, missing samples, and attrition—is needed.</w:t>
      </w:r>
    </w:p>
    <w:p w14:paraId="7856412C" w14:textId="2B241E15" w:rsidR="00636722" w:rsidRDefault="00636722" w:rsidP="00636722">
      <w:pPr>
        <w:jc w:val="both"/>
      </w:pPr>
      <w:r w:rsidRPr="00521CDC">
        <w:rPr>
          <w:rFonts w:ascii="Calibri" w:eastAsia="Calibri" w:hAnsi="Calibri"/>
          <w:b/>
          <w:bCs/>
          <w:sz w:val="20"/>
        </w:rPr>
        <w:t>Aims.</w:t>
      </w:r>
      <w:r>
        <w:rPr>
          <w:rFonts w:ascii="Calibri" w:eastAsia="Calibri" w:hAnsi="Calibri"/>
          <w:sz w:val="20"/>
        </w:rPr>
        <w:t xml:space="preserve"> </w:t>
      </w:r>
      <w:r w:rsidR="00DB0783" w:rsidRPr="00DB0783">
        <w:rPr>
          <w:rFonts w:ascii="Calibri" w:eastAsia="Calibri" w:hAnsi="Calibri"/>
          <w:sz w:val="20"/>
        </w:rPr>
        <w:t>To develop a CTS</w:t>
      </w:r>
      <w:r w:rsidR="003D19B9">
        <w:rPr>
          <w:rFonts w:ascii="Calibri" w:hAnsi="Calibri" w:hint="eastAsia"/>
          <w:sz w:val="20"/>
          <w:lang w:eastAsia="zh-CN"/>
        </w:rPr>
        <w:t xml:space="preserve"> tool</w:t>
      </w:r>
      <w:r w:rsidR="00DB0783" w:rsidRPr="00DB0783">
        <w:rPr>
          <w:rFonts w:ascii="Calibri" w:eastAsia="Calibri" w:hAnsi="Calibri"/>
          <w:sz w:val="20"/>
        </w:rPr>
        <w:t xml:space="preserve"> for AUC-guided vancomycin dosing in Auckland, and to benchmark simulated covariates, AUC</w:t>
      </w:r>
      <w:r w:rsidR="00DB0783" w:rsidRPr="005A1745">
        <w:rPr>
          <w:rFonts w:ascii="Calibri" w:eastAsia="Calibri" w:hAnsi="Calibri"/>
          <w:sz w:val="20"/>
          <w:vertAlign w:val="subscript"/>
        </w:rPr>
        <w:t>24</w:t>
      </w:r>
      <w:r w:rsidR="00DB0783" w:rsidRPr="00DB0783">
        <w:rPr>
          <w:rFonts w:ascii="Calibri" w:eastAsia="Calibri" w:hAnsi="Calibri"/>
          <w:sz w:val="20"/>
        </w:rPr>
        <w:t xml:space="preserve"> exposure, and execution events against selected clinical anchors.</w:t>
      </w:r>
    </w:p>
    <w:p w14:paraId="200F21EF" w14:textId="1B42B2BB" w:rsidR="00636722" w:rsidRPr="00BF72C9" w:rsidRDefault="00636722" w:rsidP="00636722">
      <w:pPr>
        <w:jc w:val="both"/>
        <w:rPr>
          <w:rFonts w:ascii="Calibri" w:hAnsi="Calibri"/>
          <w:sz w:val="20"/>
          <w:lang w:eastAsia="zh-CN"/>
        </w:rPr>
      </w:pPr>
      <w:r w:rsidRPr="005B3A3C">
        <w:rPr>
          <w:rFonts w:ascii="Calibri" w:eastAsia="Calibri" w:hAnsi="Calibri"/>
          <w:b/>
          <w:bCs/>
          <w:sz w:val="20"/>
        </w:rPr>
        <w:t xml:space="preserve">Methods. </w:t>
      </w:r>
      <w:r w:rsidR="00BF72C9" w:rsidRPr="00BF72C9">
        <w:rPr>
          <w:rFonts w:ascii="Calibri" w:eastAsia="Calibri" w:hAnsi="Calibri"/>
          <w:sz w:val="20"/>
        </w:rPr>
        <w:t>Virtual patients (</w:t>
      </w:r>
      <w:r w:rsidR="005D1119">
        <w:rPr>
          <w:rFonts w:ascii="Calibri" w:hAnsi="Calibri" w:hint="eastAsia"/>
          <w:sz w:val="20"/>
          <w:lang w:eastAsia="zh-CN"/>
        </w:rPr>
        <w:t>N</w:t>
      </w:r>
      <w:r w:rsidR="00BF72C9" w:rsidRPr="00BF72C9">
        <w:rPr>
          <w:rFonts w:ascii="Calibri" w:eastAsia="Calibri" w:hAnsi="Calibri"/>
          <w:sz w:val="20"/>
        </w:rPr>
        <w:t xml:space="preserve"> = 200) were sampled from a local</w:t>
      </w:r>
      <w:r w:rsidR="00953C4A">
        <w:rPr>
          <w:rFonts w:ascii="Calibri" w:hAnsi="Calibri" w:hint="eastAsia"/>
          <w:sz w:val="20"/>
          <w:lang w:eastAsia="zh-CN"/>
        </w:rPr>
        <w:t xml:space="preserve"> Auckland </w:t>
      </w:r>
      <w:r w:rsidR="00BF72C9" w:rsidRPr="00BF72C9">
        <w:rPr>
          <w:rFonts w:ascii="Calibri" w:eastAsia="Calibri" w:hAnsi="Calibri"/>
          <w:sz w:val="20"/>
        </w:rPr>
        <w:t>vancomycin covariate database of more than 3,800 treated patients. The CTS was implemented in R, NONMEM, and Wings for NONMEM. Initial dosing followed</w:t>
      </w:r>
      <w:r w:rsidR="00960B6C">
        <w:rPr>
          <w:rFonts w:ascii="Calibri" w:hAnsi="Calibri" w:hint="eastAsia"/>
          <w:sz w:val="20"/>
          <w:lang w:eastAsia="zh-CN"/>
        </w:rPr>
        <w:t xml:space="preserve"> the</w:t>
      </w:r>
      <w:r w:rsidR="00BF72C9" w:rsidRPr="00BF72C9">
        <w:rPr>
          <w:rFonts w:ascii="Calibri" w:eastAsia="Calibri" w:hAnsi="Calibri"/>
          <w:sz w:val="20"/>
        </w:rPr>
        <w:t xml:space="preserve"> local New Zealand pathway, using 25 mg/kg and a Cockcroft-Gault creatinine clearance nomogram before first sampling. Bayesian target concentration intervention began after at least one concentration observation and targeted AUC</w:t>
      </w:r>
      <w:r w:rsidR="00BF72C9" w:rsidRPr="000D0681">
        <w:rPr>
          <w:rFonts w:ascii="Calibri" w:eastAsia="Calibri" w:hAnsi="Calibri"/>
          <w:sz w:val="20"/>
          <w:vertAlign w:val="subscript"/>
        </w:rPr>
        <w:t>24</w:t>
      </w:r>
      <w:r w:rsidR="00BF72C9" w:rsidRPr="00BF72C9">
        <w:rPr>
          <w:rFonts w:ascii="Calibri" w:eastAsia="Calibri" w:hAnsi="Calibri"/>
          <w:sz w:val="20"/>
        </w:rPr>
        <w:t xml:space="preserve"> = 500 </w:t>
      </w:r>
      <w:proofErr w:type="spellStart"/>
      <w:r w:rsidR="00BF72C9" w:rsidRPr="00BF72C9">
        <w:rPr>
          <w:rFonts w:ascii="Calibri" w:eastAsia="Calibri" w:hAnsi="Calibri"/>
          <w:sz w:val="20"/>
        </w:rPr>
        <w:t>mg·h</w:t>
      </w:r>
      <w:proofErr w:type="spellEnd"/>
      <w:r w:rsidR="00BF72C9" w:rsidRPr="00BF72C9">
        <w:rPr>
          <w:rFonts w:ascii="Calibri" w:eastAsia="Calibri" w:hAnsi="Calibri"/>
          <w:sz w:val="20"/>
        </w:rPr>
        <w:t xml:space="preserve">/L. </w:t>
      </w:r>
      <w:r w:rsidR="00D82CF1" w:rsidRPr="00D82CF1">
        <w:rPr>
          <w:rFonts w:ascii="Calibri" w:eastAsia="Calibri" w:hAnsi="Calibri"/>
          <w:sz w:val="20"/>
        </w:rPr>
        <w:t>Execution events were generated using prespecified probabilities for comparison with clinical data.</w:t>
      </w:r>
    </w:p>
    <w:p w14:paraId="70273077" w14:textId="77777777" w:rsidR="00BF3776" w:rsidRDefault="00636722" w:rsidP="001E6D73">
      <w:pPr>
        <w:jc w:val="both"/>
        <w:rPr>
          <w:rFonts w:ascii="Calibri" w:hAnsi="Calibri"/>
          <w:sz w:val="20"/>
          <w:lang w:eastAsia="zh-CN"/>
        </w:rPr>
      </w:pPr>
      <w:r w:rsidRPr="005B3A3C">
        <w:rPr>
          <w:rFonts w:ascii="Calibri" w:eastAsia="Calibri" w:hAnsi="Calibri"/>
          <w:b/>
          <w:bCs/>
          <w:sz w:val="20"/>
        </w:rPr>
        <w:t xml:space="preserve">Results. </w:t>
      </w:r>
      <w:r w:rsidR="00BF3776" w:rsidRPr="00BF3776">
        <w:rPr>
          <w:rFonts w:ascii="Calibri" w:eastAsia="Calibri" w:hAnsi="Calibri"/>
          <w:sz w:val="20"/>
        </w:rPr>
        <w:t>The CTS reproduced key cohort anchors and exposure patterns. Empirical initial dosing produced broad early AUC</w:t>
      </w:r>
      <w:r w:rsidR="00BF3776" w:rsidRPr="00BF3776">
        <w:rPr>
          <w:rFonts w:ascii="Calibri" w:eastAsia="Calibri" w:hAnsi="Calibri"/>
          <w:sz w:val="20"/>
          <w:vertAlign w:val="subscript"/>
        </w:rPr>
        <w:t>24</w:t>
      </w:r>
      <w:r w:rsidR="00BF3776" w:rsidRPr="00BF3776">
        <w:rPr>
          <w:rFonts w:ascii="Calibri" w:eastAsia="Calibri" w:hAnsi="Calibri"/>
          <w:sz w:val="20"/>
        </w:rPr>
        <w:t xml:space="preserve"> exposure, with 49.2% within 400–600 </w:t>
      </w:r>
      <w:proofErr w:type="spellStart"/>
      <w:r w:rsidR="00BF3776" w:rsidRPr="00BF3776">
        <w:rPr>
          <w:rFonts w:ascii="Calibri" w:eastAsia="Calibri" w:hAnsi="Calibri"/>
          <w:sz w:val="20"/>
        </w:rPr>
        <w:t>mg·h</w:t>
      </w:r>
      <w:proofErr w:type="spellEnd"/>
      <w:r w:rsidR="00BF3776" w:rsidRPr="00BF3776">
        <w:rPr>
          <w:rFonts w:ascii="Calibri" w:eastAsia="Calibri" w:hAnsi="Calibri"/>
          <w:sz w:val="20"/>
        </w:rPr>
        <w:t>/L. Bayesian feedback narrowed exposure around the target, and final target-window attainment increased to 94.1% (Table 1).</w:t>
      </w:r>
    </w:p>
    <w:p w14:paraId="2C3C4DB3" w14:textId="730DB6B5" w:rsidR="001E6D73" w:rsidRDefault="001E6D73" w:rsidP="001E6D73">
      <w:pPr>
        <w:jc w:val="both"/>
      </w:pPr>
      <w:r>
        <w:rPr>
          <w:rFonts w:ascii="Calibri" w:eastAsia="Calibri" w:hAnsi="Calibri"/>
          <w:sz w:val="16"/>
        </w:rPr>
        <w:t xml:space="preserve">Table 1. </w:t>
      </w:r>
      <w:r w:rsidR="007425AD" w:rsidRPr="007425AD">
        <w:rPr>
          <w:rFonts w:ascii="Calibri" w:eastAsia="Calibri" w:hAnsi="Calibri"/>
          <w:sz w:val="16"/>
        </w:rPr>
        <w:t>Selected clinical anchors and CTS outputs; median [5th, 95th] or %. Early/later AUC</w:t>
      </w:r>
      <w:r w:rsidR="007425AD" w:rsidRPr="000D0681">
        <w:rPr>
          <w:rFonts w:ascii="Calibri" w:eastAsia="Calibri" w:hAnsi="Calibri"/>
          <w:sz w:val="16"/>
          <w:vertAlign w:val="subscript"/>
        </w:rPr>
        <w:t>24</w:t>
      </w:r>
      <w:r w:rsidR="007425AD" w:rsidRPr="007425AD">
        <w:rPr>
          <w:rFonts w:ascii="Calibri" w:eastAsia="Calibri" w:hAnsi="Calibri"/>
          <w:sz w:val="16"/>
        </w:rPr>
        <w:t xml:space="preserve"> = before/after Bayesian feedback over ~7 days.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3168"/>
        <w:gridCol w:w="2160"/>
      </w:tblGrid>
      <w:tr w:rsidR="001E6D73" w14:paraId="583DC397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07D8C3E" w14:textId="77777777" w:rsidR="001E6D73" w:rsidRPr="00475505" w:rsidRDefault="001E6D73" w:rsidP="00770E9F">
            <w:pPr>
              <w:jc w:val="center"/>
              <w:rPr>
                <w:bCs/>
              </w:rPr>
            </w:pPr>
            <w:r w:rsidRPr="00475505">
              <w:rPr>
                <w:rFonts w:ascii="Calibri" w:eastAsia="Calibri" w:hAnsi="Calibri"/>
                <w:bCs/>
                <w:sz w:val="14"/>
              </w:rPr>
              <w:t>Anchor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B79F38E" w14:textId="007D509F" w:rsidR="001E6D73" w:rsidRPr="00475505" w:rsidRDefault="001E6D73" w:rsidP="00770E9F">
            <w:pPr>
              <w:jc w:val="center"/>
              <w:rPr>
                <w:bCs/>
                <w:lang w:eastAsia="zh-CN"/>
              </w:rPr>
            </w:pPr>
            <w:r w:rsidRPr="00475505">
              <w:rPr>
                <w:rFonts w:ascii="Calibri" w:eastAsia="Calibri" w:hAnsi="Calibri"/>
                <w:bCs/>
                <w:sz w:val="14"/>
              </w:rPr>
              <w:t>Auckland AUC-guided cohort</w:t>
            </w:r>
            <w:r w:rsidR="00C60BAB" w:rsidRPr="00475505">
              <w:rPr>
                <w:rFonts w:ascii="Calibri" w:hAnsi="Calibri" w:hint="eastAsia"/>
                <w:bCs/>
                <w:sz w:val="14"/>
                <w:lang w:eastAsia="zh-CN"/>
              </w:rPr>
              <w:t xml:space="preserve"> (N=200)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0813792" w14:textId="25422A13" w:rsidR="001E6D73" w:rsidRPr="00475505" w:rsidRDefault="001E6D73" w:rsidP="00770E9F">
            <w:pPr>
              <w:jc w:val="center"/>
              <w:rPr>
                <w:bCs/>
                <w:lang w:eastAsia="zh-CN"/>
              </w:rPr>
            </w:pPr>
            <w:r w:rsidRPr="00475505">
              <w:rPr>
                <w:rFonts w:ascii="Calibri" w:eastAsia="Calibri" w:hAnsi="Calibri"/>
                <w:bCs/>
                <w:sz w:val="14"/>
              </w:rPr>
              <w:t>CTS</w:t>
            </w:r>
            <w:r w:rsidR="00C60BAB" w:rsidRPr="00475505">
              <w:rPr>
                <w:rFonts w:ascii="Calibri" w:hAnsi="Calibri" w:hint="eastAsia"/>
                <w:bCs/>
                <w:sz w:val="14"/>
                <w:lang w:eastAsia="zh-CN"/>
              </w:rPr>
              <w:t xml:space="preserve"> (N=200)</w:t>
            </w:r>
          </w:p>
        </w:tc>
      </w:tr>
      <w:tr w:rsidR="001E6D73" w14:paraId="007D46EB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552BE" w14:textId="77777777" w:rsidR="001E6D73" w:rsidRDefault="001E6D73" w:rsidP="00770E9F">
            <w:r>
              <w:rPr>
                <w:rFonts w:ascii="Calibri" w:eastAsia="Calibri" w:hAnsi="Calibri"/>
                <w:sz w:val="14"/>
              </w:rPr>
              <w:t>Age, years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42987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55 [10, 82]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9E61B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49 [13, 80]</w:t>
            </w:r>
          </w:p>
        </w:tc>
      </w:tr>
      <w:tr w:rsidR="001E6D73" w14:paraId="64A91024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6662F" w14:textId="77777777" w:rsidR="001E6D73" w:rsidRDefault="001E6D73" w:rsidP="00770E9F">
            <w:r>
              <w:rPr>
                <w:rFonts w:ascii="Calibri" w:eastAsia="Calibri" w:hAnsi="Calibri"/>
                <w:sz w:val="14"/>
              </w:rPr>
              <w:t>Weight, kg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AF77C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79 [30, 131]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53041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77 [43, 126]</w:t>
            </w:r>
          </w:p>
        </w:tc>
      </w:tr>
      <w:tr w:rsidR="001E6D73" w14:paraId="59B4A734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D2FD0" w14:textId="77777777" w:rsidR="001E6D73" w:rsidRDefault="001E6D73" w:rsidP="00770E9F">
            <w:r>
              <w:rPr>
                <w:rFonts w:ascii="Calibri" w:eastAsia="Calibri" w:hAnsi="Calibri"/>
                <w:sz w:val="14"/>
              </w:rPr>
              <w:t xml:space="preserve">Serum creatinine, </w:t>
            </w:r>
            <w:proofErr w:type="spellStart"/>
            <w:r>
              <w:rPr>
                <w:rFonts w:ascii="Calibri" w:eastAsia="Calibri" w:hAnsi="Calibri"/>
                <w:sz w:val="14"/>
              </w:rPr>
              <w:t>micromol</w:t>
            </w:r>
            <w:proofErr w:type="spellEnd"/>
            <w:r>
              <w:rPr>
                <w:rFonts w:ascii="Calibri" w:eastAsia="Calibri" w:hAnsi="Calibri"/>
                <w:sz w:val="14"/>
              </w:rPr>
              <w:t>/L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00644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73 [33, 211]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D5862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71 [31, 203]</w:t>
            </w:r>
          </w:p>
        </w:tc>
      </w:tr>
      <w:tr w:rsidR="001E6D73" w14:paraId="0B5ADC23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F5C9F" w14:textId="08F24396" w:rsidR="001E6D73" w:rsidRDefault="001E6D73" w:rsidP="00770E9F">
            <w:r>
              <w:rPr>
                <w:rFonts w:ascii="Calibri" w:eastAsia="Calibri" w:hAnsi="Calibri"/>
                <w:sz w:val="14"/>
              </w:rPr>
              <w:t xml:space="preserve">Female; </w:t>
            </w:r>
            <w:proofErr w:type="spellStart"/>
            <w:r w:rsidR="00551832" w:rsidRPr="00551832">
              <w:rPr>
                <w:rFonts w:ascii="Calibri" w:eastAsia="Calibri" w:hAnsi="Calibri"/>
                <w:sz w:val="14"/>
              </w:rPr>
              <w:t>paediatric</w:t>
            </w:r>
            <w:proofErr w:type="spellEnd"/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0F45C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42.5%; 7.5%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B5AE6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45.5%; 7.5%</w:t>
            </w:r>
          </w:p>
        </w:tc>
      </w:tr>
      <w:tr w:rsidR="001E6D73" w14:paraId="09E6E1CE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BCF21" w14:textId="57B978C7" w:rsidR="001E6D73" w:rsidRDefault="001E6D73" w:rsidP="00770E9F">
            <w:r>
              <w:rPr>
                <w:rFonts w:ascii="Calibri" w:eastAsia="Calibri" w:hAnsi="Calibri"/>
                <w:sz w:val="14"/>
              </w:rPr>
              <w:t>Early AUC</w:t>
            </w:r>
            <w:r w:rsidRPr="000D0681">
              <w:rPr>
                <w:rFonts w:ascii="Calibri" w:eastAsia="Calibri" w:hAnsi="Calibri"/>
                <w:sz w:val="14"/>
                <w:vertAlign w:val="subscript"/>
              </w:rPr>
              <w:t>24</w:t>
            </w:r>
            <w:r>
              <w:rPr>
                <w:rFonts w:ascii="Calibri" w:eastAsia="Calibri" w:hAnsi="Calibri"/>
                <w:sz w:val="14"/>
              </w:rPr>
              <w:t xml:space="preserve">, </w:t>
            </w:r>
            <w:proofErr w:type="spellStart"/>
            <w:r w:rsidR="00B10EA7" w:rsidRPr="00B10EA7">
              <w:rPr>
                <w:rFonts w:ascii="Calibri" w:eastAsia="Calibri" w:hAnsi="Calibri"/>
                <w:sz w:val="14"/>
              </w:rPr>
              <w:t>mg·h</w:t>
            </w:r>
            <w:proofErr w:type="spellEnd"/>
            <w:r w:rsidR="00B10EA7" w:rsidRPr="00B10EA7">
              <w:rPr>
                <w:rFonts w:ascii="Calibri" w:eastAsia="Calibri" w:hAnsi="Calibri"/>
                <w:sz w:val="14"/>
              </w:rPr>
              <w:t>/L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60978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550 [306, 766]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60A52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570 [354, 870]</w:t>
            </w:r>
          </w:p>
        </w:tc>
      </w:tr>
      <w:tr w:rsidR="001E6D73" w14:paraId="6B6DD0D3" w14:textId="77777777" w:rsidTr="00770E9F">
        <w:trPr>
          <w:jc w:val="center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1529B" w14:textId="49D0108F" w:rsidR="001E6D73" w:rsidRDefault="001E6D73" w:rsidP="00770E9F">
            <w:r>
              <w:rPr>
                <w:rFonts w:ascii="Calibri" w:eastAsia="Calibri" w:hAnsi="Calibri"/>
                <w:sz w:val="14"/>
              </w:rPr>
              <w:t>Later AUC</w:t>
            </w:r>
            <w:r w:rsidRPr="000D0681">
              <w:rPr>
                <w:rFonts w:ascii="Calibri" w:eastAsia="Calibri" w:hAnsi="Calibri"/>
                <w:sz w:val="14"/>
                <w:vertAlign w:val="subscript"/>
              </w:rPr>
              <w:t>24</w:t>
            </w:r>
            <w:r>
              <w:rPr>
                <w:rFonts w:ascii="Calibri" w:eastAsia="Calibri" w:hAnsi="Calibri"/>
                <w:sz w:val="14"/>
              </w:rPr>
              <w:t xml:space="preserve">, </w:t>
            </w:r>
            <w:proofErr w:type="spellStart"/>
            <w:r w:rsidR="00B10EA7" w:rsidRPr="00B10EA7">
              <w:rPr>
                <w:rFonts w:ascii="Calibri" w:eastAsia="Calibri" w:hAnsi="Calibri"/>
                <w:sz w:val="14"/>
              </w:rPr>
              <w:t>mg·h</w:t>
            </w:r>
            <w:proofErr w:type="spellEnd"/>
            <w:r w:rsidR="00B10EA7" w:rsidRPr="00B10EA7">
              <w:rPr>
                <w:rFonts w:ascii="Calibri" w:eastAsia="Calibri" w:hAnsi="Calibri"/>
                <w:sz w:val="14"/>
              </w:rPr>
              <w:t>/L</w:t>
            </w:r>
          </w:p>
        </w:tc>
        <w:tc>
          <w:tcPr>
            <w:tcW w:w="3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AFC0C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522 [357, 733]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41607" w14:textId="77777777" w:rsidR="001E6D73" w:rsidRDefault="001E6D73" w:rsidP="00770E9F">
            <w:pPr>
              <w:jc w:val="center"/>
            </w:pPr>
            <w:r>
              <w:rPr>
                <w:rFonts w:ascii="Calibri" w:eastAsia="Calibri" w:hAnsi="Calibri"/>
                <w:sz w:val="14"/>
              </w:rPr>
              <w:t>491 [409, 590]</w:t>
            </w:r>
          </w:p>
        </w:tc>
      </w:tr>
    </w:tbl>
    <w:p w14:paraId="6E0C9223" w14:textId="43E70802" w:rsidR="00E926C6" w:rsidRPr="001E6D73" w:rsidRDefault="001E6D73">
      <w:pPr>
        <w:jc w:val="both"/>
        <w:rPr>
          <w:lang w:eastAsia="zh-CN"/>
        </w:rPr>
      </w:pPr>
      <w:r w:rsidRPr="005B3A3C">
        <w:rPr>
          <w:rFonts w:ascii="Calibri" w:eastAsia="Calibri" w:hAnsi="Calibri"/>
          <w:b/>
          <w:bCs/>
          <w:sz w:val="20"/>
        </w:rPr>
        <w:t>Discussion.</w:t>
      </w:r>
      <w:r w:rsidR="00FB615B">
        <w:rPr>
          <w:rFonts w:ascii="Calibri" w:hAnsi="Calibri" w:hint="eastAsia"/>
          <w:b/>
          <w:bCs/>
          <w:sz w:val="20"/>
          <w:lang w:eastAsia="zh-CN"/>
        </w:rPr>
        <w:t xml:space="preserve"> </w:t>
      </w:r>
      <w:r w:rsidR="00473AC8" w:rsidRPr="00473AC8">
        <w:rPr>
          <w:rFonts w:ascii="Calibri" w:eastAsia="Calibri" w:hAnsi="Calibri"/>
          <w:sz w:val="20"/>
        </w:rPr>
        <w:t>This CTS</w:t>
      </w:r>
      <w:r w:rsidR="00E926C6">
        <w:rPr>
          <w:rFonts w:ascii="Calibri" w:hAnsi="Calibri" w:hint="eastAsia"/>
          <w:sz w:val="20"/>
          <w:lang w:eastAsia="zh-CN"/>
        </w:rPr>
        <w:t xml:space="preserve"> tool</w:t>
      </w:r>
      <w:r w:rsidR="00473AC8" w:rsidRPr="00473AC8">
        <w:rPr>
          <w:rFonts w:ascii="Calibri" w:eastAsia="Calibri" w:hAnsi="Calibri"/>
          <w:sz w:val="20"/>
        </w:rPr>
        <w:t xml:space="preserve"> supports future testing of dosing and sampling strategies; execution events are retained so that </w:t>
      </w:r>
      <w:proofErr w:type="gramStart"/>
      <w:r w:rsidR="00473AC8" w:rsidRPr="00473AC8">
        <w:rPr>
          <w:rFonts w:ascii="Calibri" w:eastAsia="Calibri" w:hAnsi="Calibri"/>
          <w:sz w:val="20"/>
        </w:rPr>
        <w:t>ward</w:t>
      </w:r>
      <w:proofErr w:type="gramEnd"/>
      <w:r w:rsidR="00473AC8" w:rsidRPr="00473AC8">
        <w:rPr>
          <w:rFonts w:ascii="Calibri" w:eastAsia="Calibri" w:hAnsi="Calibri"/>
          <w:sz w:val="20"/>
        </w:rPr>
        <w:t>-practice effects can be evaluated against the completed clinical dataset.</w:t>
      </w:r>
    </w:p>
    <w:sectPr w:rsidR="00E926C6" w:rsidRPr="001E6D73" w:rsidSect="00C65B38">
      <w:pgSz w:w="11906" w:h="8391" w:orient="landscape" w:code="11"/>
      <w:pgMar w:top="568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6FA2" w14:textId="77777777" w:rsidR="004867FC" w:rsidRDefault="004867FC" w:rsidP="001F4EF0">
      <w:r>
        <w:separator/>
      </w:r>
    </w:p>
  </w:endnote>
  <w:endnote w:type="continuationSeparator" w:id="0">
    <w:p w14:paraId="11EF4C71" w14:textId="77777777" w:rsidR="004867FC" w:rsidRDefault="004867FC" w:rsidP="001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4D28" w14:textId="77777777" w:rsidR="004867FC" w:rsidRDefault="004867FC" w:rsidP="001F4EF0">
      <w:r>
        <w:separator/>
      </w:r>
    </w:p>
  </w:footnote>
  <w:footnote w:type="continuationSeparator" w:id="0">
    <w:p w14:paraId="61DEACA0" w14:textId="77777777" w:rsidR="004867FC" w:rsidRDefault="004867FC" w:rsidP="001F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B62B6"/>
    <w:rsid w:val="000D0681"/>
    <w:rsid w:val="00124AD2"/>
    <w:rsid w:val="0013717D"/>
    <w:rsid w:val="001E6D73"/>
    <w:rsid w:val="001F4EF0"/>
    <w:rsid w:val="002226BB"/>
    <w:rsid w:val="002272B0"/>
    <w:rsid w:val="002633D2"/>
    <w:rsid w:val="002834BA"/>
    <w:rsid w:val="00300B92"/>
    <w:rsid w:val="00316D90"/>
    <w:rsid w:val="003238D9"/>
    <w:rsid w:val="00387491"/>
    <w:rsid w:val="003944B8"/>
    <w:rsid w:val="003C6C40"/>
    <w:rsid w:val="003D19B9"/>
    <w:rsid w:val="00444224"/>
    <w:rsid w:val="00466DDF"/>
    <w:rsid w:val="004717D3"/>
    <w:rsid w:val="00473AC8"/>
    <w:rsid w:val="00475505"/>
    <w:rsid w:val="00483B05"/>
    <w:rsid w:val="004867FC"/>
    <w:rsid w:val="004E28B9"/>
    <w:rsid w:val="004E50FC"/>
    <w:rsid w:val="004E5450"/>
    <w:rsid w:val="00521CDC"/>
    <w:rsid w:val="00525388"/>
    <w:rsid w:val="00551832"/>
    <w:rsid w:val="0059609A"/>
    <w:rsid w:val="00597659"/>
    <w:rsid w:val="005A1745"/>
    <w:rsid w:val="005B23F1"/>
    <w:rsid w:val="005D1119"/>
    <w:rsid w:val="005D1700"/>
    <w:rsid w:val="005E48A2"/>
    <w:rsid w:val="005E62BE"/>
    <w:rsid w:val="00636722"/>
    <w:rsid w:val="00690D4A"/>
    <w:rsid w:val="00694AC2"/>
    <w:rsid w:val="006C3002"/>
    <w:rsid w:val="00711813"/>
    <w:rsid w:val="00724E3C"/>
    <w:rsid w:val="007425AD"/>
    <w:rsid w:val="00743C46"/>
    <w:rsid w:val="00760B17"/>
    <w:rsid w:val="007A3049"/>
    <w:rsid w:val="00817E92"/>
    <w:rsid w:val="00885303"/>
    <w:rsid w:val="008909C9"/>
    <w:rsid w:val="00902752"/>
    <w:rsid w:val="009056AC"/>
    <w:rsid w:val="00945122"/>
    <w:rsid w:val="00947B77"/>
    <w:rsid w:val="00953C4A"/>
    <w:rsid w:val="00960B6C"/>
    <w:rsid w:val="009E2228"/>
    <w:rsid w:val="009F06D6"/>
    <w:rsid w:val="00A045B2"/>
    <w:rsid w:val="00A266B4"/>
    <w:rsid w:val="00A71DEF"/>
    <w:rsid w:val="00AE2DA6"/>
    <w:rsid w:val="00B10EA7"/>
    <w:rsid w:val="00BC5FCC"/>
    <w:rsid w:val="00BF3776"/>
    <w:rsid w:val="00BF72C9"/>
    <w:rsid w:val="00C132EC"/>
    <w:rsid w:val="00C301A0"/>
    <w:rsid w:val="00C60A71"/>
    <w:rsid w:val="00C60BAB"/>
    <w:rsid w:val="00C65B38"/>
    <w:rsid w:val="00C65B5E"/>
    <w:rsid w:val="00CA10A2"/>
    <w:rsid w:val="00CE612C"/>
    <w:rsid w:val="00CF2708"/>
    <w:rsid w:val="00D25A49"/>
    <w:rsid w:val="00D55F3B"/>
    <w:rsid w:val="00D82CF1"/>
    <w:rsid w:val="00D90E66"/>
    <w:rsid w:val="00DA2731"/>
    <w:rsid w:val="00DB0783"/>
    <w:rsid w:val="00E14874"/>
    <w:rsid w:val="00E926C6"/>
    <w:rsid w:val="00EF12F3"/>
    <w:rsid w:val="00F02477"/>
    <w:rsid w:val="00F13CD1"/>
    <w:rsid w:val="00F90F73"/>
    <w:rsid w:val="00F97620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1E412"/>
  <w15:chartTrackingRefBased/>
  <w15:docId w15:val="{3BF40C9F-142E-43CA-8FDE-74416A2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4E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4EF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E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4EF0"/>
    <w:rPr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9FC03-8FA6-4825-A09C-31313430A16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2545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3</cp:revision>
  <cp:lastPrinted>2026-05-27T05:56:00Z</cp:lastPrinted>
  <dcterms:created xsi:type="dcterms:W3CDTF">2026-05-27T07:03:00Z</dcterms:created>
  <dcterms:modified xsi:type="dcterms:W3CDTF">2026-05-27T07:03:00Z</dcterms:modified>
</cp:coreProperties>
</file>