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37AB3EFA" w:rsidR="00C315D2" w:rsidRPr="00C315D2" w:rsidRDefault="0000691D" w:rsidP="5E2C5F31">
      <w:pPr>
        <w:spacing w:after="0" w:line="240" w:lineRule="auto"/>
        <w:rPr>
          <w:rFonts w:ascii="Arial" w:eastAsia="Calibri" w:hAnsi="Arial" w:cs="Calibri"/>
          <w:b/>
          <w:bCs/>
          <w:kern w:val="0"/>
          <w:lang w:val="en-US"/>
          <w14:ligatures w14:val="none"/>
        </w:rPr>
      </w:pPr>
      <w:r w:rsidRPr="0000691D">
        <w:rPr>
          <w:rFonts w:ascii="Arial" w:eastAsia="Calibri" w:hAnsi="Arial" w:cs="Calibri"/>
          <w:b/>
          <w:bCs/>
          <w:kern w:val="0"/>
          <w:lang w:val="en-US"/>
          <w14:ligatures w14:val="none"/>
        </w:rPr>
        <w:t xml:space="preserve">Multimodal </w:t>
      </w:r>
      <w:r>
        <w:rPr>
          <w:rFonts w:ascii="Arial" w:eastAsia="等线" w:hAnsi="Arial" w:cs="Calibri" w:hint="eastAsia"/>
          <w:b/>
          <w:bCs/>
          <w:kern w:val="0"/>
          <w:lang w:val="en-US" w:eastAsia="zh-CN"/>
          <w14:ligatures w14:val="none"/>
        </w:rPr>
        <w:t>F</w:t>
      </w:r>
      <w:r w:rsidRPr="0000691D">
        <w:rPr>
          <w:rFonts w:ascii="Arial" w:eastAsia="Calibri" w:hAnsi="Arial" w:cs="Calibri"/>
          <w:b/>
          <w:bCs/>
          <w:kern w:val="0"/>
          <w:lang w:val="en-US"/>
          <w14:ligatures w14:val="none"/>
        </w:rPr>
        <w:t xml:space="preserve">ramework </w:t>
      </w:r>
      <w:r w:rsidR="008C74EB">
        <w:rPr>
          <w:rFonts w:ascii="Arial" w:eastAsia="等线" w:hAnsi="Arial" w:cs="Calibri" w:hint="eastAsia"/>
          <w:b/>
          <w:bCs/>
          <w:kern w:val="0"/>
          <w:lang w:val="en-US" w:eastAsia="zh-CN"/>
          <w14:ligatures w14:val="none"/>
        </w:rPr>
        <w:t>F</w:t>
      </w:r>
      <w:r w:rsidR="00CF0B78">
        <w:rPr>
          <w:rFonts w:ascii="Arial" w:eastAsia="等线" w:hAnsi="Arial" w:cs="Calibri"/>
          <w:b/>
          <w:bCs/>
          <w:kern w:val="0"/>
          <w:lang w:val="en-US" w:eastAsia="zh-CN"/>
          <w14:ligatures w14:val="none"/>
        </w:rPr>
        <w:t>or</w:t>
      </w:r>
      <w:r w:rsidRPr="0000691D">
        <w:rPr>
          <w:rFonts w:ascii="Arial" w:eastAsia="Calibri" w:hAnsi="Arial" w:cs="Calibri"/>
          <w:b/>
          <w:bCs/>
          <w:kern w:val="0"/>
          <w:lang w:val="en-US"/>
          <w14:ligatures w14:val="none"/>
        </w:rPr>
        <w:t xml:space="preserve"> </w:t>
      </w:r>
      <w:r>
        <w:rPr>
          <w:rFonts w:ascii="Arial" w:eastAsia="等线" w:hAnsi="Arial" w:cs="Calibri" w:hint="eastAsia"/>
          <w:b/>
          <w:bCs/>
          <w:kern w:val="0"/>
          <w:lang w:val="en-US" w:eastAsia="zh-CN"/>
          <w14:ligatures w14:val="none"/>
        </w:rPr>
        <w:t>E</w:t>
      </w:r>
      <w:r w:rsidRPr="0000691D">
        <w:rPr>
          <w:rFonts w:ascii="Arial" w:eastAsia="Calibri" w:hAnsi="Arial" w:cs="Calibri"/>
          <w:b/>
          <w:bCs/>
          <w:kern w:val="0"/>
          <w:lang w:val="en-US"/>
          <w14:ligatures w14:val="none"/>
        </w:rPr>
        <w:t xml:space="preserve">arly </w:t>
      </w:r>
      <w:r>
        <w:rPr>
          <w:rFonts w:ascii="Arial" w:eastAsia="等线" w:hAnsi="Arial" w:cs="Calibri" w:hint="eastAsia"/>
          <w:b/>
          <w:bCs/>
          <w:kern w:val="0"/>
          <w:lang w:val="en-US" w:eastAsia="zh-CN"/>
          <w14:ligatures w14:val="none"/>
        </w:rPr>
        <w:t>D</w:t>
      </w:r>
      <w:r w:rsidRPr="0000691D">
        <w:rPr>
          <w:rFonts w:ascii="Arial" w:eastAsia="Calibri" w:hAnsi="Arial" w:cs="Calibri"/>
          <w:b/>
          <w:bCs/>
          <w:kern w:val="0"/>
          <w:lang w:val="en-US"/>
          <w14:ligatures w14:val="none"/>
        </w:rPr>
        <w:t xml:space="preserve">evelopability </w:t>
      </w:r>
      <w:r>
        <w:rPr>
          <w:rFonts w:ascii="Arial" w:eastAsia="等线" w:hAnsi="Arial" w:cs="Calibri" w:hint="eastAsia"/>
          <w:b/>
          <w:bCs/>
          <w:kern w:val="0"/>
          <w:lang w:val="en-US" w:eastAsia="zh-CN"/>
          <w14:ligatures w14:val="none"/>
        </w:rPr>
        <w:t>A</w:t>
      </w:r>
      <w:r w:rsidRPr="0000691D">
        <w:rPr>
          <w:rFonts w:ascii="Arial" w:eastAsia="Calibri" w:hAnsi="Arial" w:cs="Calibri"/>
          <w:b/>
          <w:bCs/>
          <w:kern w:val="0"/>
          <w:lang w:val="en-US"/>
          <w14:ligatures w14:val="none"/>
        </w:rPr>
        <w:t xml:space="preserve">ssessment </w:t>
      </w:r>
      <w:r w:rsidR="008C74EB">
        <w:rPr>
          <w:rFonts w:ascii="Arial" w:eastAsia="等线" w:hAnsi="Arial" w:cs="Calibri" w:hint="eastAsia"/>
          <w:b/>
          <w:bCs/>
          <w:kern w:val="0"/>
          <w:lang w:val="en-US" w:eastAsia="zh-CN"/>
          <w14:ligatures w14:val="none"/>
        </w:rPr>
        <w:t>T</w:t>
      </w:r>
      <w:r w:rsidR="00CF0B78">
        <w:rPr>
          <w:rFonts w:ascii="Arial" w:eastAsia="等线" w:hAnsi="Arial" w:cs="Calibri"/>
          <w:b/>
          <w:bCs/>
          <w:kern w:val="0"/>
          <w:lang w:val="en-US" w:eastAsia="zh-CN"/>
          <w14:ligatures w14:val="none"/>
        </w:rPr>
        <w:t>o</w:t>
      </w:r>
      <w:r w:rsidRPr="0000691D">
        <w:rPr>
          <w:rFonts w:ascii="Arial" w:eastAsia="Calibri" w:hAnsi="Arial" w:cs="Calibri"/>
          <w:b/>
          <w:bCs/>
          <w:kern w:val="0"/>
          <w:lang w:val="en-US"/>
          <w14:ligatures w14:val="none"/>
        </w:rPr>
        <w:t xml:space="preserve"> </w:t>
      </w:r>
      <w:r>
        <w:rPr>
          <w:rFonts w:ascii="Arial" w:eastAsia="等线" w:hAnsi="Arial" w:cs="Calibri" w:hint="eastAsia"/>
          <w:b/>
          <w:bCs/>
          <w:kern w:val="0"/>
          <w:lang w:val="en-US" w:eastAsia="zh-CN"/>
          <w14:ligatures w14:val="none"/>
        </w:rPr>
        <w:t>A</w:t>
      </w:r>
      <w:r w:rsidRPr="0000691D">
        <w:rPr>
          <w:rFonts w:ascii="Arial" w:eastAsia="Calibri" w:hAnsi="Arial" w:cs="Calibri"/>
          <w:b/>
          <w:bCs/>
          <w:kern w:val="0"/>
          <w:lang w:val="en-US"/>
          <w14:ligatures w14:val="none"/>
        </w:rPr>
        <w:t xml:space="preserve">ccelerate </w:t>
      </w:r>
      <w:r>
        <w:rPr>
          <w:rFonts w:ascii="Arial" w:eastAsia="等线" w:hAnsi="Arial" w:cs="Calibri" w:hint="eastAsia"/>
          <w:b/>
          <w:bCs/>
          <w:kern w:val="0"/>
          <w:lang w:val="en-US" w:eastAsia="zh-CN"/>
          <w14:ligatures w14:val="none"/>
        </w:rPr>
        <w:t>P</w:t>
      </w:r>
      <w:r w:rsidRPr="0000691D">
        <w:rPr>
          <w:rFonts w:ascii="Arial" w:eastAsia="Calibri" w:hAnsi="Arial" w:cs="Calibri"/>
          <w:b/>
          <w:bCs/>
          <w:kern w:val="0"/>
          <w:lang w:val="en-US"/>
          <w14:ligatures w14:val="none"/>
        </w:rPr>
        <w:t xml:space="preserve">rotein/antibody </w:t>
      </w:r>
      <w:r>
        <w:rPr>
          <w:rFonts w:ascii="Arial" w:eastAsia="等线" w:hAnsi="Arial" w:cs="Calibri" w:hint="eastAsia"/>
          <w:b/>
          <w:bCs/>
          <w:kern w:val="0"/>
          <w:lang w:val="en-US" w:eastAsia="zh-CN"/>
          <w14:ligatures w14:val="none"/>
        </w:rPr>
        <w:t>D</w:t>
      </w:r>
      <w:r w:rsidRPr="0000691D">
        <w:rPr>
          <w:rFonts w:ascii="Arial" w:eastAsia="Calibri" w:hAnsi="Arial" w:cs="Calibri"/>
          <w:b/>
          <w:bCs/>
          <w:kern w:val="0"/>
          <w:lang w:val="en-US"/>
          <w14:ligatures w14:val="none"/>
        </w:rPr>
        <w:t>evelopment</w:t>
      </w:r>
    </w:p>
    <w:p w14:paraId="71437A88" w14:textId="17DFA464" w:rsidR="00BF71C8" w:rsidRPr="00BF71C8" w:rsidRDefault="00BF71C8" w:rsidP="002D5096">
      <w:pPr>
        <w:spacing w:after="0" w:line="240" w:lineRule="auto"/>
        <w:jc w:val="both"/>
        <w:rPr>
          <w:rFonts w:ascii="Arial" w:hAnsi="Arial" w:cs="Arial"/>
          <w:sz w:val="20"/>
          <w:szCs w:val="20"/>
        </w:rPr>
      </w:pPr>
      <w:r w:rsidRPr="00BF71C8">
        <w:rPr>
          <w:rFonts w:ascii="Arial" w:hAnsi="Arial" w:cs="Arial"/>
          <w:b/>
          <w:bCs/>
          <w:sz w:val="20"/>
          <w:szCs w:val="20"/>
          <w:u w:val="single"/>
        </w:rPr>
        <w:t>Jiayin Deng</w:t>
      </w:r>
      <w:r w:rsidRPr="00BF71C8">
        <w:rPr>
          <w:rFonts w:ascii="Arial" w:hAnsi="Arial" w:cs="Arial"/>
          <w:b/>
          <w:bCs/>
          <w:sz w:val="20"/>
          <w:szCs w:val="20"/>
          <w:u w:val="single"/>
          <w:vertAlign w:val="superscript"/>
        </w:rPr>
        <w:t>a, 1</w:t>
      </w:r>
      <w:r w:rsidRPr="00BF71C8">
        <w:rPr>
          <w:rFonts w:ascii="Arial" w:hAnsi="Arial" w:cs="Arial"/>
          <w:b/>
          <w:bCs/>
          <w:sz w:val="20"/>
          <w:szCs w:val="20"/>
          <w:u w:val="single"/>
        </w:rPr>
        <w:t xml:space="preserve">, </w:t>
      </w:r>
      <w:r w:rsidRPr="00BF71C8">
        <w:rPr>
          <w:rFonts w:ascii="Arial" w:hAnsi="Arial" w:cs="Arial"/>
          <w:sz w:val="20"/>
          <w:szCs w:val="20"/>
        </w:rPr>
        <w:t>Qiong Huang</w:t>
      </w:r>
      <w:r w:rsidRPr="00BF71C8">
        <w:rPr>
          <w:rFonts w:ascii="Arial" w:hAnsi="Arial" w:cs="Arial"/>
          <w:sz w:val="20"/>
          <w:szCs w:val="20"/>
          <w:vertAlign w:val="superscript"/>
        </w:rPr>
        <w:t>b, 1</w:t>
      </w:r>
      <w:r w:rsidRPr="00BF71C8">
        <w:rPr>
          <w:rFonts w:ascii="Arial" w:hAnsi="Arial" w:cs="Arial"/>
          <w:sz w:val="20"/>
          <w:szCs w:val="20"/>
        </w:rPr>
        <w:t>, Jiayi Lv</w:t>
      </w:r>
      <w:r w:rsidR="00B549DE">
        <w:rPr>
          <w:rFonts w:ascii="Arial" w:hAnsi="Arial" w:cs="Arial" w:hint="eastAsia"/>
          <w:sz w:val="20"/>
          <w:szCs w:val="20"/>
          <w:vertAlign w:val="superscript"/>
          <w:lang w:eastAsia="zh-CN"/>
        </w:rPr>
        <w:t>b</w:t>
      </w:r>
      <w:r w:rsidRPr="00BF71C8">
        <w:rPr>
          <w:rFonts w:ascii="Arial" w:hAnsi="Arial" w:cs="Arial"/>
          <w:sz w:val="20"/>
          <w:szCs w:val="20"/>
        </w:rPr>
        <w:t>, Yiqi Yang</w:t>
      </w:r>
      <w:r w:rsidR="00DC3AC5">
        <w:rPr>
          <w:rFonts w:ascii="Arial" w:hAnsi="Arial" w:cs="Arial" w:hint="eastAsia"/>
          <w:sz w:val="20"/>
          <w:szCs w:val="20"/>
          <w:vertAlign w:val="superscript"/>
          <w:lang w:eastAsia="zh-CN"/>
        </w:rPr>
        <w:t>c</w:t>
      </w:r>
      <w:r w:rsidRPr="00BF71C8">
        <w:rPr>
          <w:rFonts w:ascii="Arial" w:hAnsi="Arial" w:cs="Arial"/>
          <w:sz w:val="20"/>
          <w:szCs w:val="20"/>
        </w:rPr>
        <w:t>, Zhuyifan Ye</w:t>
      </w:r>
      <w:r w:rsidR="00B549DE">
        <w:rPr>
          <w:rFonts w:ascii="Arial" w:hAnsi="Arial" w:cs="Arial" w:hint="eastAsia"/>
          <w:sz w:val="20"/>
          <w:szCs w:val="20"/>
          <w:vertAlign w:val="superscript"/>
          <w:lang w:eastAsia="zh-CN"/>
        </w:rPr>
        <w:t>d</w:t>
      </w:r>
      <w:r w:rsidRPr="00BF71C8">
        <w:rPr>
          <w:rFonts w:ascii="Arial" w:hAnsi="Arial" w:cs="Arial"/>
          <w:sz w:val="20"/>
          <w:szCs w:val="20"/>
        </w:rPr>
        <w:t>, Yanyi Chu</w:t>
      </w:r>
      <w:r w:rsidR="00B549DE">
        <w:rPr>
          <w:rFonts w:ascii="Arial" w:hAnsi="Arial" w:cs="Arial" w:hint="eastAsia"/>
          <w:sz w:val="20"/>
          <w:szCs w:val="20"/>
          <w:vertAlign w:val="superscript"/>
          <w:lang w:eastAsia="zh-CN"/>
        </w:rPr>
        <w:t>e</w:t>
      </w:r>
      <w:r w:rsidRPr="00BF71C8">
        <w:rPr>
          <w:rFonts w:ascii="Arial" w:hAnsi="Arial" w:cs="Arial"/>
          <w:sz w:val="20"/>
          <w:szCs w:val="20"/>
        </w:rPr>
        <w:t>, Qi Zhao</w:t>
      </w:r>
      <w:r w:rsidR="00DC3AC5">
        <w:rPr>
          <w:rFonts w:ascii="Arial" w:hAnsi="Arial" w:cs="Arial" w:hint="eastAsia"/>
          <w:sz w:val="20"/>
          <w:szCs w:val="20"/>
          <w:vertAlign w:val="superscript"/>
          <w:lang w:eastAsia="zh-CN"/>
        </w:rPr>
        <w:t>c</w:t>
      </w:r>
      <w:r w:rsidRPr="00BF71C8">
        <w:rPr>
          <w:rFonts w:ascii="Arial" w:hAnsi="Arial" w:cs="Arial"/>
          <w:sz w:val="20"/>
          <w:szCs w:val="20"/>
          <w:vertAlign w:val="superscript"/>
        </w:rPr>
        <w:t>, *</w:t>
      </w:r>
      <w:r w:rsidRPr="00BF71C8">
        <w:rPr>
          <w:rFonts w:ascii="Arial" w:hAnsi="Arial" w:cs="Arial"/>
          <w:sz w:val="20"/>
          <w:szCs w:val="20"/>
        </w:rPr>
        <w:t>, Wei-Jie Fang</w:t>
      </w:r>
      <w:r w:rsidRPr="00BF71C8">
        <w:rPr>
          <w:rFonts w:ascii="Arial" w:hAnsi="Arial" w:cs="Arial"/>
          <w:sz w:val="20"/>
          <w:szCs w:val="20"/>
          <w:vertAlign w:val="superscript"/>
        </w:rPr>
        <w:t>b, *</w:t>
      </w:r>
      <w:r w:rsidRPr="00BF71C8">
        <w:rPr>
          <w:rFonts w:ascii="Arial" w:hAnsi="Arial" w:cs="Arial"/>
          <w:sz w:val="20"/>
          <w:szCs w:val="20"/>
        </w:rPr>
        <w:t>, Defang Ouyang</w:t>
      </w:r>
      <w:r w:rsidRPr="00BF71C8">
        <w:rPr>
          <w:rFonts w:ascii="Arial" w:hAnsi="Arial" w:cs="Arial"/>
          <w:sz w:val="20"/>
          <w:szCs w:val="20"/>
          <w:vertAlign w:val="superscript"/>
        </w:rPr>
        <w:t xml:space="preserve">a, </w:t>
      </w:r>
      <w:r w:rsidR="00B549DE">
        <w:rPr>
          <w:rFonts w:ascii="Arial" w:hAnsi="Arial" w:cs="Arial" w:hint="eastAsia"/>
          <w:sz w:val="20"/>
          <w:szCs w:val="20"/>
          <w:vertAlign w:val="superscript"/>
          <w:lang w:eastAsia="zh-CN"/>
        </w:rPr>
        <w:t>f</w:t>
      </w:r>
      <w:r w:rsidRPr="00BF71C8">
        <w:rPr>
          <w:rFonts w:ascii="Arial" w:hAnsi="Arial" w:cs="Arial"/>
          <w:sz w:val="20"/>
          <w:szCs w:val="20"/>
          <w:vertAlign w:val="superscript"/>
        </w:rPr>
        <w:t>, *</w:t>
      </w:r>
    </w:p>
    <w:p w14:paraId="21038038" w14:textId="23E70A77" w:rsidR="005872A3" w:rsidRPr="005872A3" w:rsidRDefault="005872A3" w:rsidP="005872A3">
      <w:pPr>
        <w:widowControl w:val="0"/>
        <w:spacing w:after="0" w:line="240" w:lineRule="auto"/>
        <w:jc w:val="both"/>
        <w:rPr>
          <w:rFonts w:ascii="Arial" w:hAnsi="Arial" w:cs="Arial"/>
          <w:color w:val="000000" w:themeColor="text1"/>
          <w:sz w:val="20"/>
          <w:szCs w:val="20"/>
          <w:lang w:eastAsia="zh-CN"/>
        </w:rPr>
      </w:pPr>
      <w:r w:rsidRPr="005872A3">
        <w:rPr>
          <w:rFonts w:ascii="Arial" w:hAnsi="Arial" w:cs="Arial"/>
          <w:color w:val="000000" w:themeColor="text1"/>
          <w:sz w:val="20"/>
          <w:szCs w:val="20"/>
        </w:rPr>
        <w:t>The State Key Laboratory of Mechanism and Quality of Chinese Medicine, Institute of Chinese Medical Sciences</w:t>
      </w:r>
      <w:r w:rsidRPr="005872A3">
        <w:rPr>
          <w:rFonts w:ascii="Arial" w:hAnsi="Arial" w:cs="Arial" w:hint="eastAsia"/>
          <w:color w:val="000000" w:themeColor="text1"/>
          <w:sz w:val="20"/>
          <w:szCs w:val="20"/>
          <w:lang w:eastAsia="zh-CN"/>
        </w:rPr>
        <w:t xml:space="preserve"> </w:t>
      </w:r>
      <w:r w:rsidRPr="005872A3">
        <w:rPr>
          <w:rFonts w:ascii="Arial" w:hAnsi="Arial" w:cs="Arial" w:hint="eastAsia"/>
          <w:color w:val="000000" w:themeColor="text1"/>
          <w:sz w:val="20"/>
          <w:szCs w:val="20"/>
          <w:vertAlign w:val="superscript"/>
          <w:lang w:eastAsia="zh-CN"/>
        </w:rPr>
        <w:t>a</w:t>
      </w:r>
      <w:r w:rsidRPr="005872A3">
        <w:rPr>
          <w:rFonts w:ascii="Arial" w:hAnsi="Arial" w:cs="Arial"/>
          <w:color w:val="000000" w:themeColor="text1"/>
          <w:sz w:val="20"/>
          <w:szCs w:val="20"/>
        </w:rPr>
        <w:t>, University of Macau, Taipa, Macau, China</w:t>
      </w:r>
      <w:r>
        <w:rPr>
          <w:rFonts w:ascii="Arial" w:hAnsi="Arial" w:cs="Arial" w:hint="eastAsia"/>
          <w:color w:val="000000" w:themeColor="text1"/>
          <w:sz w:val="20"/>
          <w:szCs w:val="20"/>
          <w:lang w:eastAsia="zh-CN"/>
        </w:rPr>
        <w:t>;</w:t>
      </w:r>
    </w:p>
    <w:p w14:paraId="1E5A999F" w14:textId="7189320C" w:rsidR="005872A3" w:rsidRPr="005872A3" w:rsidRDefault="005872A3" w:rsidP="005872A3">
      <w:pPr>
        <w:widowControl w:val="0"/>
        <w:spacing w:after="0" w:line="240" w:lineRule="auto"/>
        <w:jc w:val="both"/>
        <w:rPr>
          <w:rFonts w:ascii="Arial" w:hAnsi="Arial" w:cs="Arial"/>
          <w:color w:val="000000" w:themeColor="text1"/>
          <w:sz w:val="20"/>
          <w:szCs w:val="20"/>
          <w:lang w:eastAsia="zh-CN"/>
        </w:rPr>
      </w:pPr>
      <w:r w:rsidRPr="005872A3">
        <w:rPr>
          <w:rFonts w:ascii="Arial" w:hAnsi="Arial" w:cs="Arial"/>
          <w:color w:val="000000" w:themeColor="text1"/>
          <w:sz w:val="20"/>
          <w:szCs w:val="20"/>
        </w:rPr>
        <w:t>Institute of Drug Metabolism and Pharmaceutical Analysis, College of Pharmaceutical Sciences</w:t>
      </w:r>
      <w:r w:rsidRPr="005872A3">
        <w:rPr>
          <w:rFonts w:ascii="Arial" w:hAnsi="Arial" w:cs="Arial" w:hint="eastAsia"/>
          <w:color w:val="000000" w:themeColor="text1"/>
          <w:sz w:val="20"/>
          <w:szCs w:val="20"/>
          <w:lang w:eastAsia="zh-CN"/>
        </w:rPr>
        <w:t xml:space="preserve"> </w:t>
      </w:r>
      <w:r w:rsidRPr="005872A3">
        <w:rPr>
          <w:rFonts w:ascii="Arial" w:hAnsi="Arial" w:cs="Arial" w:hint="eastAsia"/>
          <w:color w:val="000000" w:themeColor="text1"/>
          <w:sz w:val="20"/>
          <w:szCs w:val="20"/>
          <w:vertAlign w:val="superscript"/>
          <w:lang w:eastAsia="zh-CN"/>
        </w:rPr>
        <w:t>b</w:t>
      </w:r>
      <w:r w:rsidRPr="005872A3">
        <w:rPr>
          <w:rFonts w:ascii="Arial" w:hAnsi="Arial" w:cs="Arial"/>
          <w:color w:val="000000" w:themeColor="text1"/>
          <w:sz w:val="20"/>
          <w:szCs w:val="20"/>
        </w:rPr>
        <w:t>, Zhejiang University, Hangzhou, China</w:t>
      </w:r>
      <w:r>
        <w:rPr>
          <w:rFonts w:ascii="Arial" w:hAnsi="Arial" w:cs="Arial" w:hint="eastAsia"/>
          <w:color w:val="000000" w:themeColor="text1"/>
          <w:sz w:val="20"/>
          <w:szCs w:val="20"/>
          <w:lang w:eastAsia="zh-CN"/>
        </w:rPr>
        <w:t>;</w:t>
      </w:r>
    </w:p>
    <w:p w14:paraId="4353B822" w14:textId="05231A0E" w:rsidR="005872A3" w:rsidRPr="005872A3" w:rsidRDefault="005872A3" w:rsidP="005872A3">
      <w:pPr>
        <w:widowControl w:val="0"/>
        <w:spacing w:after="0" w:line="240" w:lineRule="auto"/>
        <w:jc w:val="both"/>
        <w:rPr>
          <w:rFonts w:ascii="Arial" w:hAnsi="Arial" w:cs="Arial"/>
          <w:color w:val="000000" w:themeColor="text1"/>
          <w:sz w:val="20"/>
          <w:szCs w:val="20"/>
          <w:lang w:eastAsia="zh-CN"/>
        </w:rPr>
      </w:pPr>
      <w:r w:rsidRPr="005872A3">
        <w:rPr>
          <w:rFonts w:ascii="Arial" w:hAnsi="Arial" w:cs="Arial"/>
          <w:color w:val="000000" w:themeColor="text1"/>
          <w:sz w:val="20"/>
          <w:szCs w:val="20"/>
        </w:rPr>
        <w:t>Cancer Centre, Faculty of Health Sciences, University of Macau</w:t>
      </w:r>
      <w:r w:rsidRPr="005872A3">
        <w:rPr>
          <w:rFonts w:ascii="Arial" w:hAnsi="Arial" w:cs="Arial" w:hint="eastAsia"/>
          <w:color w:val="000000" w:themeColor="text1"/>
          <w:sz w:val="20"/>
          <w:szCs w:val="20"/>
          <w:lang w:eastAsia="zh-CN"/>
        </w:rPr>
        <w:t xml:space="preserve"> </w:t>
      </w:r>
      <w:r w:rsidR="00DC3AC5">
        <w:rPr>
          <w:rFonts w:ascii="Arial" w:hAnsi="Arial" w:cs="Arial" w:hint="eastAsia"/>
          <w:color w:val="000000" w:themeColor="text1"/>
          <w:sz w:val="20"/>
          <w:szCs w:val="20"/>
          <w:vertAlign w:val="superscript"/>
          <w:lang w:eastAsia="zh-CN"/>
        </w:rPr>
        <w:t>c</w:t>
      </w:r>
      <w:r w:rsidRPr="005872A3">
        <w:rPr>
          <w:rFonts w:ascii="Arial" w:hAnsi="Arial" w:cs="Arial"/>
          <w:color w:val="000000" w:themeColor="text1"/>
          <w:sz w:val="20"/>
          <w:szCs w:val="20"/>
        </w:rPr>
        <w:t>, Taipa, Macau, China</w:t>
      </w:r>
      <w:r>
        <w:rPr>
          <w:rFonts w:ascii="Arial" w:hAnsi="Arial" w:cs="Arial" w:hint="eastAsia"/>
          <w:color w:val="000000" w:themeColor="text1"/>
          <w:sz w:val="20"/>
          <w:szCs w:val="20"/>
          <w:lang w:eastAsia="zh-CN"/>
        </w:rPr>
        <w:t>;</w:t>
      </w:r>
    </w:p>
    <w:p w14:paraId="7DCBC791" w14:textId="37DDF9DB" w:rsidR="005872A3" w:rsidRPr="005872A3" w:rsidRDefault="005872A3" w:rsidP="005872A3">
      <w:pPr>
        <w:widowControl w:val="0"/>
        <w:spacing w:after="0" w:line="240" w:lineRule="auto"/>
        <w:jc w:val="both"/>
        <w:rPr>
          <w:rFonts w:ascii="Arial" w:hAnsi="Arial" w:cs="Arial"/>
          <w:color w:val="000000" w:themeColor="text1"/>
          <w:sz w:val="20"/>
          <w:szCs w:val="20"/>
          <w:lang w:eastAsia="zh-CN"/>
        </w:rPr>
      </w:pPr>
      <w:r w:rsidRPr="005872A3">
        <w:rPr>
          <w:rFonts w:ascii="Arial" w:hAnsi="Arial" w:cs="Arial"/>
          <w:color w:val="000000" w:themeColor="text1"/>
          <w:sz w:val="20"/>
          <w:szCs w:val="20"/>
        </w:rPr>
        <w:t>Faculty of Applied Sciences, Macao Polytechnic University</w:t>
      </w:r>
      <w:r w:rsidRPr="005872A3">
        <w:rPr>
          <w:rFonts w:ascii="Arial" w:hAnsi="Arial" w:cs="Arial" w:hint="eastAsia"/>
          <w:color w:val="000000" w:themeColor="text1"/>
          <w:sz w:val="20"/>
          <w:szCs w:val="20"/>
          <w:lang w:eastAsia="zh-CN"/>
        </w:rPr>
        <w:t xml:space="preserve"> </w:t>
      </w:r>
      <w:r w:rsidR="00B549DE">
        <w:rPr>
          <w:rFonts w:ascii="Arial" w:hAnsi="Arial" w:cs="Arial" w:hint="eastAsia"/>
          <w:color w:val="000000" w:themeColor="text1"/>
          <w:sz w:val="20"/>
          <w:szCs w:val="20"/>
          <w:vertAlign w:val="superscript"/>
          <w:lang w:eastAsia="zh-CN"/>
        </w:rPr>
        <w:t>d</w:t>
      </w:r>
      <w:r w:rsidRPr="005872A3">
        <w:rPr>
          <w:rFonts w:ascii="Arial" w:hAnsi="Arial" w:cs="Arial"/>
          <w:color w:val="000000" w:themeColor="text1"/>
          <w:sz w:val="20"/>
          <w:szCs w:val="20"/>
        </w:rPr>
        <w:t>, Macau, China</w:t>
      </w:r>
      <w:r>
        <w:rPr>
          <w:rFonts w:ascii="Arial" w:hAnsi="Arial" w:cs="Arial" w:hint="eastAsia"/>
          <w:color w:val="000000" w:themeColor="text1"/>
          <w:sz w:val="20"/>
          <w:szCs w:val="20"/>
          <w:lang w:eastAsia="zh-CN"/>
        </w:rPr>
        <w:t>;</w:t>
      </w:r>
    </w:p>
    <w:p w14:paraId="0DB3F001" w14:textId="463E65B8" w:rsidR="005872A3" w:rsidRPr="005872A3" w:rsidRDefault="005872A3" w:rsidP="005872A3">
      <w:pPr>
        <w:widowControl w:val="0"/>
        <w:spacing w:after="0" w:line="240" w:lineRule="auto"/>
        <w:jc w:val="both"/>
        <w:rPr>
          <w:rFonts w:ascii="Arial" w:hAnsi="Arial" w:cs="Arial"/>
          <w:color w:val="000000" w:themeColor="text1"/>
          <w:sz w:val="20"/>
          <w:szCs w:val="20"/>
          <w:lang w:eastAsia="zh-CN"/>
        </w:rPr>
      </w:pPr>
      <w:r w:rsidRPr="005872A3">
        <w:rPr>
          <w:rFonts w:ascii="Arial" w:hAnsi="Arial" w:cs="Arial"/>
          <w:color w:val="000000" w:themeColor="text1"/>
          <w:sz w:val="20"/>
          <w:szCs w:val="20"/>
        </w:rPr>
        <w:t>Arc Institute, Palo Alto</w:t>
      </w:r>
      <w:r w:rsidRPr="005872A3">
        <w:rPr>
          <w:rFonts w:ascii="Arial" w:hAnsi="Arial" w:cs="Arial" w:hint="eastAsia"/>
          <w:color w:val="000000" w:themeColor="text1"/>
          <w:sz w:val="20"/>
          <w:szCs w:val="20"/>
          <w:lang w:eastAsia="zh-CN"/>
        </w:rPr>
        <w:t xml:space="preserve"> </w:t>
      </w:r>
      <w:r w:rsidR="00B549DE">
        <w:rPr>
          <w:rFonts w:ascii="Arial" w:hAnsi="Arial" w:cs="Arial" w:hint="eastAsia"/>
          <w:color w:val="000000" w:themeColor="text1"/>
          <w:sz w:val="20"/>
          <w:szCs w:val="20"/>
          <w:vertAlign w:val="superscript"/>
          <w:lang w:eastAsia="zh-CN"/>
        </w:rPr>
        <w:t>e</w:t>
      </w:r>
      <w:r w:rsidRPr="005872A3">
        <w:rPr>
          <w:rFonts w:ascii="Arial" w:hAnsi="Arial" w:cs="Arial"/>
          <w:color w:val="000000" w:themeColor="text1"/>
          <w:sz w:val="20"/>
          <w:szCs w:val="20"/>
        </w:rPr>
        <w:t>, CA, USA</w:t>
      </w:r>
      <w:r>
        <w:rPr>
          <w:rFonts w:ascii="Arial" w:hAnsi="Arial" w:cs="Arial" w:hint="eastAsia"/>
          <w:color w:val="000000" w:themeColor="text1"/>
          <w:sz w:val="20"/>
          <w:szCs w:val="20"/>
          <w:lang w:eastAsia="zh-CN"/>
        </w:rPr>
        <w:t>;</w:t>
      </w:r>
    </w:p>
    <w:p w14:paraId="534136A1" w14:textId="0C1BEC5C" w:rsidR="005872A3" w:rsidRPr="005872A3" w:rsidRDefault="005872A3" w:rsidP="00F45E07">
      <w:pPr>
        <w:widowControl w:val="0"/>
        <w:spacing w:after="0" w:line="240" w:lineRule="auto"/>
        <w:jc w:val="both"/>
        <w:rPr>
          <w:rFonts w:ascii="Arial" w:hAnsi="Arial" w:cs="Arial"/>
          <w:color w:val="000000" w:themeColor="text1"/>
          <w:sz w:val="20"/>
          <w:szCs w:val="20"/>
        </w:rPr>
      </w:pPr>
      <w:r w:rsidRPr="005872A3">
        <w:rPr>
          <w:rFonts w:ascii="Arial" w:hAnsi="Arial" w:cs="Arial"/>
          <w:color w:val="000000" w:themeColor="text1"/>
          <w:sz w:val="20"/>
          <w:szCs w:val="20"/>
        </w:rPr>
        <w:t>DPM, Faculty of Health Sciences, University of Macau</w:t>
      </w:r>
      <w:r w:rsidRPr="005872A3">
        <w:rPr>
          <w:rFonts w:ascii="Arial" w:hAnsi="Arial" w:cs="Arial" w:hint="eastAsia"/>
          <w:color w:val="000000" w:themeColor="text1"/>
          <w:sz w:val="20"/>
          <w:szCs w:val="20"/>
          <w:lang w:eastAsia="zh-CN"/>
        </w:rPr>
        <w:t xml:space="preserve"> </w:t>
      </w:r>
      <w:r w:rsidR="00B549DE">
        <w:rPr>
          <w:rFonts w:ascii="Arial" w:hAnsi="Arial" w:cs="Arial" w:hint="eastAsia"/>
          <w:color w:val="000000" w:themeColor="text1"/>
          <w:sz w:val="20"/>
          <w:szCs w:val="20"/>
          <w:vertAlign w:val="superscript"/>
          <w:lang w:eastAsia="zh-CN"/>
        </w:rPr>
        <w:t>f</w:t>
      </w:r>
      <w:r w:rsidRPr="005872A3">
        <w:rPr>
          <w:rFonts w:ascii="Arial" w:hAnsi="Arial" w:cs="Arial"/>
          <w:color w:val="000000" w:themeColor="text1"/>
          <w:sz w:val="20"/>
          <w:szCs w:val="20"/>
        </w:rPr>
        <w:t>, Taipa, Macau, China.</w:t>
      </w:r>
    </w:p>
    <w:p w14:paraId="25458B73" w14:textId="77777777" w:rsidR="005872A3" w:rsidRPr="00F45E07" w:rsidRDefault="005872A3" w:rsidP="00C315D2">
      <w:pPr>
        <w:spacing w:after="0" w:line="240" w:lineRule="auto"/>
        <w:rPr>
          <w:rFonts w:ascii="Arial" w:eastAsia="等线" w:hAnsi="Arial" w:cs="Calibri"/>
          <w:bCs/>
          <w:kern w:val="0"/>
          <w:sz w:val="20"/>
          <w:szCs w:val="20"/>
          <w:lang w:eastAsia="zh-CN"/>
          <w14:ligatures w14:val="none"/>
        </w:rPr>
      </w:pPr>
    </w:p>
    <w:p w14:paraId="2385039D" w14:textId="0D54F382"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C5D05" w:rsidRPr="00CC5D05">
        <w:rPr>
          <w:rFonts w:ascii="Arial" w:eastAsia="Calibri" w:hAnsi="Arial" w:cs="Calibri"/>
          <w:bCs/>
          <w:kern w:val="0"/>
          <w:sz w:val="20"/>
          <w:szCs w:val="20"/>
          <w14:ligatures w14:val="none"/>
        </w:rPr>
        <w:t>Protein/antibody therapeutics, distinguished by their exceptional activity, specificity, and precise biological functions, are crucial in modern pharmaceuticals. Their clinical success relies on developability—a set of properties that ensure stability and safety—determined by both the protein molecule and the formulation composition. However, formulation development of biopharmaceutical drugs remains hindered by inefficient and expensive trial-and-error assessments. This study aims to address these challenges by developing a multimodal deep learning framework for comprehensive developability prediction.</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2083A425"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CC5D05" w:rsidRPr="00CC5D05">
        <w:rPr>
          <w:rFonts w:ascii="Arial" w:eastAsia="Calibri" w:hAnsi="Arial" w:cs="Calibri"/>
          <w:bCs/>
          <w:kern w:val="0"/>
          <w:sz w:val="20"/>
          <w:szCs w:val="20"/>
          <w14:ligatures w14:val="none"/>
        </w:rPr>
        <w:t>Four developability-related datasets were constructed, each containing both protein sequence and excipient information. A multimodal deep learning framework (Formulation</w:t>
      </w:r>
      <w:r w:rsidR="00CC5D05" w:rsidRPr="00400808">
        <w:rPr>
          <w:rFonts w:ascii="Arial" w:eastAsia="Calibri" w:hAnsi="Arial" w:cs="Calibri"/>
          <w:bCs/>
          <w:kern w:val="0"/>
          <w:sz w:val="20"/>
          <w:szCs w:val="20"/>
          <w:vertAlign w:val="subscript"/>
          <w14:ligatures w14:val="none"/>
        </w:rPr>
        <w:t>Protein</w:t>
      </w:r>
      <w:r w:rsidR="00CC5D05" w:rsidRPr="00CC5D05">
        <w:rPr>
          <w:rFonts w:ascii="Arial" w:eastAsia="Calibri" w:hAnsi="Arial" w:cs="Calibri"/>
          <w:bCs/>
          <w:kern w:val="0"/>
          <w:sz w:val="20"/>
          <w:szCs w:val="20"/>
          <w14:ligatures w14:val="none"/>
        </w:rPr>
        <w:t>) was designed to predict these developability attributes by systematically integrating three-dimensional structural data, sequence, descriptors, and formulation composition. Transfer learning and conventional machine learning algorithms were employed to enable comprehensive feature representation and prediction. Experimental validation was conducted on 9 proteins across 145 formulations.</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3F2342BB" w14:textId="145D26B5" w:rsidR="00E87DEE" w:rsidRPr="00E87DEE" w:rsidRDefault="00795378" w:rsidP="00C600B7">
      <w:pPr>
        <w:spacing w:after="0" w:line="240" w:lineRule="auto"/>
        <w:jc w:val="both"/>
        <w:rPr>
          <w:rFonts w:ascii="Arial" w:eastAsia="等线" w:hAnsi="Arial" w:cs="Calibri"/>
          <w:kern w:val="0"/>
          <w:sz w:val="20"/>
          <w:szCs w:val="20"/>
          <w:lang w:val="en-US" w:eastAsia="zh-C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3657E4" w:rsidRPr="00CC5D05">
        <w:rPr>
          <w:rFonts w:ascii="Arial" w:eastAsia="Calibri" w:hAnsi="Arial" w:cs="Calibri"/>
          <w:bCs/>
          <w:kern w:val="0"/>
          <w:sz w:val="20"/>
          <w:szCs w:val="20"/>
          <w14:ligatures w14:val="none"/>
        </w:rPr>
        <w:t xml:space="preserve">The datasets cover conformational stability (986 entries), colloidal stability (919 entries), viscosity (900 entries), and solubility (749 entries). </w:t>
      </w:r>
      <w:r w:rsidR="00CC5D05" w:rsidRPr="00CC5D05">
        <w:rPr>
          <w:rFonts w:ascii="Arial" w:eastAsia="Calibri" w:hAnsi="Arial" w:cs="Calibri"/>
          <w:kern w:val="0"/>
          <w:sz w:val="20"/>
          <w:szCs w:val="20"/>
          <w:lang w:val="en-US"/>
          <w14:ligatures w14:val="none"/>
        </w:rPr>
        <w:t>Formulation</w:t>
      </w:r>
      <w:r w:rsidR="00CC5D05" w:rsidRPr="00400808">
        <w:rPr>
          <w:rFonts w:ascii="Arial" w:eastAsia="Calibri" w:hAnsi="Arial" w:cs="Calibri"/>
          <w:kern w:val="0"/>
          <w:sz w:val="20"/>
          <w:szCs w:val="20"/>
          <w:vertAlign w:val="subscript"/>
          <w:lang w:val="en-US"/>
          <w14:ligatures w14:val="none"/>
        </w:rPr>
        <w:t>Protein</w:t>
      </w:r>
      <w:r w:rsidR="00CC5D05" w:rsidRPr="00CC5D05">
        <w:rPr>
          <w:rFonts w:ascii="Arial" w:eastAsia="Calibri" w:hAnsi="Arial" w:cs="Calibri"/>
          <w:kern w:val="0"/>
          <w:sz w:val="20"/>
          <w:szCs w:val="20"/>
          <w:lang w:val="en-US"/>
          <w14:ligatures w14:val="none"/>
        </w:rPr>
        <w:t xml:space="preserve"> demonstrated strong predictive performance, achieving average accuracies of 0.925 for conformational stability, 0.858 for colloidal stability, 0.917 for viscosity, and 0.742 for solubility on the test sets. These results highlight the framework's capability to systematically predict key developability attributes. Experimental validation further confirmed its reliability across diverse proteins and formulations.</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145E8F37"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C5D05">
        <w:rPr>
          <w:rFonts w:hint="eastAsia"/>
          <w:lang w:eastAsia="zh-CN"/>
        </w:rPr>
        <w:t xml:space="preserve"> </w:t>
      </w:r>
      <w:r w:rsidR="00CC5D05" w:rsidRPr="00CC5D05">
        <w:rPr>
          <w:rFonts w:ascii="Arial" w:eastAsia="Calibri" w:hAnsi="Arial" w:cs="Calibri"/>
          <w:bCs/>
          <w:kern w:val="0"/>
          <w:sz w:val="20"/>
          <w:szCs w:val="20"/>
          <w14:ligatures w14:val="none"/>
        </w:rPr>
        <w:t>This study presents Formulation</w:t>
      </w:r>
      <w:r w:rsidR="00CC5D05" w:rsidRPr="00CC5D05">
        <w:rPr>
          <w:rFonts w:ascii="Arial" w:eastAsia="Calibri" w:hAnsi="Arial" w:cs="Calibri"/>
          <w:bCs/>
          <w:kern w:val="0"/>
          <w:sz w:val="20"/>
          <w:szCs w:val="20"/>
          <w:vertAlign w:val="subscript"/>
          <w14:ligatures w14:val="none"/>
        </w:rPr>
        <w:t>Protein</w:t>
      </w:r>
      <w:r w:rsidR="00CC5D05" w:rsidRPr="00CC5D05">
        <w:rPr>
          <w:rFonts w:ascii="Arial" w:eastAsia="Calibri" w:hAnsi="Arial" w:cs="Calibri"/>
          <w:bCs/>
          <w:kern w:val="0"/>
          <w:sz w:val="20"/>
          <w:szCs w:val="20"/>
          <w14:ligatures w14:val="none"/>
        </w:rPr>
        <w:t>,</w:t>
      </w:r>
      <w:r w:rsidR="00750AD7">
        <w:rPr>
          <w:rFonts w:ascii="Arial" w:eastAsia="等线" w:hAnsi="Arial" w:cs="Calibri" w:hint="eastAsia"/>
          <w:bCs/>
          <w:kern w:val="0"/>
          <w:sz w:val="20"/>
          <w:szCs w:val="20"/>
          <w:lang w:eastAsia="zh-CN"/>
          <w14:ligatures w14:val="none"/>
        </w:rPr>
        <w:t xml:space="preserve"> </w:t>
      </w:r>
      <w:r w:rsidR="00CC5D05" w:rsidRPr="00CC5D05">
        <w:rPr>
          <w:rFonts w:ascii="Arial" w:eastAsia="Calibri" w:hAnsi="Arial" w:cs="Calibri"/>
          <w:bCs/>
          <w:kern w:val="0"/>
          <w:sz w:val="20"/>
          <w:szCs w:val="20"/>
          <w14:ligatures w14:val="none"/>
        </w:rPr>
        <w:t>a multimodal deep learning framework, for comprehensive developability assessment. By integrating structural, sequence, and formulation data, this approach offers a powerful tool to accelerate protein/antibody development in early-stage pharmaceutical research.</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06822F4A" w:rsidR="00C315D2" w:rsidRDefault="0073136E" w:rsidP="00C600B7">
      <w:pPr>
        <w:spacing w:afterLines="50" w:after="120" w:line="240" w:lineRule="auto"/>
        <w:jc w:val="both"/>
        <w:rPr>
          <w:rFonts w:ascii="Arial" w:eastAsia="等线" w:hAnsi="Arial" w:cs="Calibri"/>
          <w:bCs/>
          <w:kern w:val="0"/>
          <w:sz w:val="20"/>
          <w:szCs w:val="20"/>
          <w:lang w:val="en-US" w:eastAsia="zh-CN"/>
          <w14:ligatures w14:val="none"/>
        </w:rPr>
      </w:pPr>
      <w:r w:rsidRPr="0073136E">
        <w:rPr>
          <w:rFonts w:ascii="Arial" w:eastAsia="Calibri" w:hAnsi="Arial" w:cs="Calibri"/>
          <w:b/>
          <w:kern w:val="0"/>
          <w:sz w:val="20"/>
          <w:szCs w:val="20"/>
          <w14:ligatures w14:val="none"/>
        </w:rPr>
        <w:t>Acknowledgements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DE635E" w:rsidRPr="00DE635E">
        <w:rPr>
          <w:rFonts w:ascii="Arial" w:eastAsia="Calibri" w:hAnsi="Arial" w:cs="Calibri"/>
          <w:bCs/>
          <w:kern w:val="0"/>
          <w:sz w:val="20"/>
          <w:szCs w:val="20"/>
          <w:lang w:val="en-US"/>
          <w14:ligatures w14:val="none"/>
        </w:rPr>
        <w:t xml:space="preserve">We thank the </w:t>
      </w:r>
      <w:r w:rsidR="00DE635E">
        <w:rPr>
          <w:rFonts w:ascii="Arial" w:eastAsia="等线" w:hAnsi="Arial" w:cs="Calibri" w:hint="eastAsia"/>
          <w:bCs/>
          <w:kern w:val="0"/>
          <w:sz w:val="20"/>
          <w:szCs w:val="20"/>
          <w:lang w:val="en-US" w:eastAsia="zh-CN"/>
          <w14:ligatures w14:val="none"/>
        </w:rPr>
        <w:t>support</w:t>
      </w:r>
      <w:r w:rsidR="00DE635E" w:rsidRPr="00DE635E">
        <w:rPr>
          <w:rFonts w:ascii="Arial" w:eastAsia="Calibri" w:hAnsi="Arial" w:cs="Calibri"/>
          <w:bCs/>
          <w:kern w:val="0"/>
          <w:sz w:val="20"/>
          <w:szCs w:val="20"/>
          <w:lang w:val="en-US"/>
          <w14:ligatures w14:val="none"/>
        </w:rPr>
        <w:t xml:space="preserve"> provided by</w:t>
      </w:r>
      <w:r w:rsidR="00DE635E">
        <w:rPr>
          <w:rFonts w:ascii="Arial" w:eastAsia="等线" w:hAnsi="Arial" w:cs="Calibri" w:hint="eastAsia"/>
          <w:bCs/>
          <w:kern w:val="0"/>
          <w:sz w:val="20"/>
          <w:szCs w:val="20"/>
          <w:lang w:val="en-US" w:eastAsia="zh-CN"/>
          <w14:ligatures w14:val="none"/>
        </w:rPr>
        <w:t xml:space="preserve"> </w:t>
      </w:r>
      <w:r w:rsidR="00F1759D" w:rsidRPr="00F1759D">
        <w:rPr>
          <w:rFonts w:ascii="Arial" w:eastAsia="Calibri" w:hAnsi="Arial" w:cs="Calibri"/>
          <w:bCs/>
          <w:kern w:val="0"/>
          <w:sz w:val="20"/>
          <w:szCs w:val="20"/>
          <w:lang w:val="en-US"/>
          <w14:ligatures w14:val="none"/>
        </w:rPr>
        <w:t xml:space="preserve">the University of Macau Multi-Year Research Grant (MYRG-GRG2024-00123-ICMS-UMDF) and Macau Science and Technology Development Fund (0071/2024/RIA1) We thank the funding provided by Macao Polytechnic University (RP/FCA-13/2023). </w:t>
      </w:r>
    </w:p>
    <w:p w14:paraId="23664882" w14:textId="77777777" w:rsidR="00C600B7" w:rsidRPr="00E87DEE" w:rsidRDefault="00C600B7" w:rsidP="00C600B7">
      <w:pPr>
        <w:spacing w:afterLines="50" w:after="120" w:line="240" w:lineRule="auto"/>
        <w:ind w:left="1440" w:hanging="1440"/>
        <w:jc w:val="center"/>
        <w:rPr>
          <w:rFonts w:ascii="Arial" w:eastAsia="等线" w:hAnsi="Arial" w:cs="Calibri"/>
          <w:sz w:val="20"/>
          <w:szCs w:val="20"/>
          <w:lang w:val="en-US" w:eastAsia="zh-CN"/>
        </w:rPr>
      </w:pPr>
      <w:r w:rsidRPr="00244184">
        <w:rPr>
          <w:rFonts w:ascii="Times New Roman" w:hAnsi="Times New Roman" w:cs="Times New Roman"/>
          <w:noProof/>
        </w:rPr>
        <w:drawing>
          <wp:inline distT="0" distB="0" distL="0" distR="0" wp14:anchorId="46844223" wp14:editId="5AEA054A">
            <wp:extent cx="2564100" cy="2001023"/>
            <wp:effectExtent l="0" t="0" r="8255" b="0"/>
            <wp:docPr id="28" name="图片 27" descr="图示&#10;&#10;AI 生成的内容可能不正确。">
              <a:extLst xmlns:a="http://schemas.openxmlformats.org/drawingml/2006/main">
                <a:ext uri="{FF2B5EF4-FFF2-40B4-BE49-F238E27FC236}">
                  <a16:creationId xmlns:a16="http://schemas.microsoft.com/office/drawing/2014/main" id="{0837FACC-8E38-982A-CB2E-49DF4E06F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图示&#10;&#10;AI 生成的内容可能不正确。">
                      <a:extLst>
                        <a:ext uri="{FF2B5EF4-FFF2-40B4-BE49-F238E27FC236}">
                          <a16:creationId xmlns:a16="http://schemas.microsoft.com/office/drawing/2014/main" id="{0837FACC-8E38-982A-CB2E-49DF4E06FDF6}"/>
                        </a:ext>
                      </a:extLst>
                    </pic:cNvPr>
                    <pic:cNvPicPr>
                      <a:picLocks noChangeAspect="1"/>
                    </pic:cNvPicPr>
                  </pic:nvPicPr>
                  <pic:blipFill>
                    <a:blip r:embed="rId10"/>
                    <a:stretch>
                      <a:fillRect/>
                    </a:stretch>
                  </pic:blipFill>
                  <pic:spPr>
                    <a:xfrm>
                      <a:off x="0" y="0"/>
                      <a:ext cx="2567096" cy="2003361"/>
                    </a:xfrm>
                    <a:prstGeom prst="rect">
                      <a:avLst/>
                    </a:prstGeom>
                  </pic:spPr>
                </pic:pic>
              </a:graphicData>
            </a:graphic>
          </wp:inline>
        </w:drawing>
      </w:r>
    </w:p>
    <w:p w14:paraId="25F86D42" w14:textId="77777777" w:rsidR="00C600B7" w:rsidRPr="00244184" w:rsidRDefault="00C600B7" w:rsidP="00C600B7">
      <w:pPr>
        <w:spacing w:after="0" w:line="240" w:lineRule="auto"/>
        <w:jc w:val="both"/>
        <w:rPr>
          <w:rFonts w:ascii="Times New Roman" w:hAnsi="Times New Roman" w:cs="Times New Roman"/>
        </w:rPr>
      </w:pPr>
      <w:r w:rsidRPr="2021B9E9">
        <w:rPr>
          <w:rFonts w:ascii="Arial" w:eastAsia="Calibri" w:hAnsi="Arial" w:cs="Calibri"/>
          <w:b/>
          <w:bCs/>
          <w:kern w:val="0"/>
          <w:sz w:val="20"/>
          <w:szCs w:val="20"/>
          <w:lang w:val="en-GB"/>
          <w14:ligatures w14:val="none"/>
        </w:rPr>
        <w:t>Figure 1.</w:t>
      </w:r>
      <w:r w:rsidRPr="00670633">
        <w:rPr>
          <w:rFonts w:ascii="Times New Roman" w:hAnsi="Times New Roman" w:cs="Times New Roman"/>
        </w:rPr>
        <w:t xml:space="preserve"> </w:t>
      </w:r>
      <w:r w:rsidRPr="00670633">
        <w:rPr>
          <w:rFonts w:ascii="Arial" w:hAnsi="Arial" w:cs="Arial"/>
          <w:sz w:val="20"/>
          <w:szCs w:val="20"/>
        </w:rPr>
        <w:t>(A) Conventional approaches to protein formulation development. (B) Workflow for the development of Formulation</w:t>
      </w:r>
      <w:r w:rsidRPr="00670633">
        <w:rPr>
          <w:rFonts w:ascii="Arial" w:hAnsi="Arial" w:cs="Arial"/>
          <w:sz w:val="20"/>
          <w:szCs w:val="20"/>
          <w:vertAlign w:val="subscript"/>
        </w:rPr>
        <w:t>Protein</w:t>
      </w:r>
      <w:r w:rsidRPr="00670633">
        <w:rPr>
          <w:rFonts w:ascii="Arial" w:hAnsi="Arial" w:cs="Arial"/>
          <w:sz w:val="20"/>
          <w:szCs w:val="20"/>
        </w:rPr>
        <w:t>.</w:t>
      </w:r>
    </w:p>
    <w:sectPr w:rsidR="00C600B7" w:rsidRPr="00244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DEB3" w14:textId="77777777" w:rsidR="005C4AF7" w:rsidRDefault="005C4AF7" w:rsidP="0000691D">
      <w:pPr>
        <w:spacing w:after="0" w:line="240" w:lineRule="auto"/>
      </w:pPr>
      <w:r>
        <w:separator/>
      </w:r>
    </w:p>
  </w:endnote>
  <w:endnote w:type="continuationSeparator" w:id="0">
    <w:p w14:paraId="2013CBA1" w14:textId="77777777" w:rsidR="005C4AF7" w:rsidRDefault="005C4AF7" w:rsidP="0000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CA8D" w14:textId="77777777" w:rsidR="005C4AF7" w:rsidRDefault="005C4AF7" w:rsidP="0000691D">
      <w:pPr>
        <w:spacing w:after="0" w:line="240" w:lineRule="auto"/>
      </w:pPr>
      <w:r>
        <w:separator/>
      </w:r>
    </w:p>
  </w:footnote>
  <w:footnote w:type="continuationSeparator" w:id="0">
    <w:p w14:paraId="043EB3C2" w14:textId="77777777" w:rsidR="005C4AF7" w:rsidRDefault="005C4AF7" w:rsidP="0000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4B0F3F"/>
    <w:multiLevelType w:val="hybridMultilevel"/>
    <w:tmpl w:val="27C870D2"/>
    <w:lvl w:ilvl="0" w:tplc="10AAB14C">
      <w:start w:val="1"/>
      <w:numFmt w:val="lowerLetter"/>
      <w:lvlText w:val="%1."/>
      <w:lvlJc w:val="left"/>
      <w:pPr>
        <w:ind w:left="360" w:hanging="360"/>
      </w:pPr>
      <w:rPr>
        <w:rFonts w:hint="default"/>
      </w:rPr>
    </w:lvl>
    <w:lvl w:ilvl="1" w:tplc="04090019" w:tentative="1">
      <w:start w:val="1"/>
      <w:numFmt w:val="lowerLetter"/>
      <w:lvlText w:val="%2)"/>
      <w:lvlJc w:val="left"/>
      <w:pPr>
        <w:ind w:left="1022" w:hanging="440"/>
      </w:pPr>
    </w:lvl>
    <w:lvl w:ilvl="2" w:tplc="0409001B" w:tentative="1">
      <w:start w:val="1"/>
      <w:numFmt w:val="lowerRoman"/>
      <w:lvlText w:val="%3."/>
      <w:lvlJc w:val="right"/>
      <w:pPr>
        <w:ind w:left="1462" w:hanging="440"/>
      </w:pPr>
    </w:lvl>
    <w:lvl w:ilvl="3" w:tplc="0409000F" w:tentative="1">
      <w:start w:val="1"/>
      <w:numFmt w:val="decimal"/>
      <w:lvlText w:val="%4."/>
      <w:lvlJc w:val="left"/>
      <w:pPr>
        <w:ind w:left="1902" w:hanging="440"/>
      </w:pPr>
    </w:lvl>
    <w:lvl w:ilvl="4" w:tplc="04090019" w:tentative="1">
      <w:start w:val="1"/>
      <w:numFmt w:val="lowerLetter"/>
      <w:lvlText w:val="%5)"/>
      <w:lvlJc w:val="left"/>
      <w:pPr>
        <w:ind w:left="2342" w:hanging="440"/>
      </w:pPr>
    </w:lvl>
    <w:lvl w:ilvl="5" w:tplc="0409001B" w:tentative="1">
      <w:start w:val="1"/>
      <w:numFmt w:val="lowerRoman"/>
      <w:lvlText w:val="%6."/>
      <w:lvlJc w:val="right"/>
      <w:pPr>
        <w:ind w:left="2782" w:hanging="440"/>
      </w:pPr>
    </w:lvl>
    <w:lvl w:ilvl="6" w:tplc="0409000F" w:tentative="1">
      <w:start w:val="1"/>
      <w:numFmt w:val="decimal"/>
      <w:lvlText w:val="%7."/>
      <w:lvlJc w:val="left"/>
      <w:pPr>
        <w:ind w:left="3222" w:hanging="440"/>
      </w:pPr>
    </w:lvl>
    <w:lvl w:ilvl="7" w:tplc="04090019" w:tentative="1">
      <w:start w:val="1"/>
      <w:numFmt w:val="lowerLetter"/>
      <w:lvlText w:val="%8)"/>
      <w:lvlJc w:val="left"/>
      <w:pPr>
        <w:ind w:left="3662" w:hanging="440"/>
      </w:pPr>
    </w:lvl>
    <w:lvl w:ilvl="8" w:tplc="0409001B" w:tentative="1">
      <w:start w:val="1"/>
      <w:numFmt w:val="lowerRoman"/>
      <w:lvlText w:val="%9."/>
      <w:lvlJc w:val="right"/>
      <w:pPr>
        <w:ind w:left="4102" w:hanging="440"/>
      </w:pPr>
    </w:lvl>
  </w:abstractNum>
  <w:num w:numId="1" w16cid:durableId="1339885325">
    <w:abstractNumId w:val="0"/>
  </w:num>
  <w:num w:numId="2" w16cid:durableId="2102944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691D"/>
    <w:rsid w:val="00021698"/>
    <w:rsid w:val="000A28EF"/>
    <w:rsid w:val="00107368"/>
    <w:rsid w:val="00113BB7"/>
    <w:rsid w:val="001172E6"/>
    <w:rsid w:val="001A19F4"/>
    <w:rsid w:val="002017E6"/>
    <w:rsid w:val="002559A3"/>
    <w:rsid w:val="00290E74"/>
    <w:rsid w:val="00294059"/>
    <w:rsid w:val="002D5096"/>
    <w:rsid w:val="003206E4"/>
    <w:rsid w:val="00351040"/>
    <w:rsid w:val="003657E4"/>
    <w:rsid w:val="003A6D5C"/>
    <w:rsid w:val="003F086D"/>
    <w:rsid w:val="00400808"/>
    <w:rsid w:val="0047634F"/>
    <w:rsid w:val="004A51B6"/>
    <w:rsid w:val="004E4DAF"/>
    <w:rsid w:val="00510CF8"/>
    <w:rsid w:val="00575A29"/>
    <w:rsid w:val="005872A3"/>
    <w:rsid w:val="005901D6"/>
    <w:rsid w:val="005B4329"/>
    <w:rsid w:val="005C4AF7"/>
    <w:rsid w:val="00601754"/>
    <w:rsid w:val="00670633"/>
    <w:rsid w:val="006A34BE"/>
    <w:rsid w:val="006D634F"/>
    <w:rsid w:val="006F3F1C"/>
    <w:rsid w:val="007141F2"/>
    <w:rsid w:val="0073136E"/>
    <w:rsid w:val="00750AD7"/>
    <w:rsid w:val="007561D8"/>
    <w:rsid w:val="00795378"/>
    <w:rsid w:val="00796206"/>
    <w:rsid w:val="007C367E"/>
    <w:rsid w:val="007F5806"/>
    <w:rsid w:val="008071C5"/>
    <w:rsid w:val="0087532F"/>
    <w:rsid w:val="008C74EB"/>
    <w:rsid w:val="00906D34"/>
    <w:rsid w:val="00933DC9"/>
    <w:rsid w:val="00936D4C"/>
    <w:rsid w:val="009474DE"/>
    <w:rsid w:val="00951DA8"/>
    <w:rsid w:val="009523F9"/>
    <w:rsid w:val="009650DF"/>
    <w:rsid w:val="009B1CBB"/>
    <w:rsid w:val="00A0516D"/>
    <w:rsid w:val="00A2708B"/>
    <w:rsid w:val="00B4721D"/>
    <w:rsid w:val="00B549DE"/>
    <w:rsid w:val="00B8473A"/>
    <w:rsid w:val="00BE4607"/>
    <w:rsid w:val="00BF71C8"/>
    <w:rsid w:val="00C21815"/>
    <w:rsid w:val="00C315D2"/>
    <w:rsid w:val="00C353D8"/>
    <w:rsid w:val="00C600B7"/>
    <w:rsid w:val="00CC5D05"/>
    <w:rsid w:val="00CF0B78"/>
    <w:rsid w:val="00CF5A91"/>
    <w:rsid w:val="00D02BB1"/>
    <w:rsid w:val="00D45898"/>
    <w:rsid w:val="00D45A74"/>
    <w:rsid w:val="00D7428F"/>
    <w:rsid w:val="00DC3AC5"/>
    <w:rsid w:val="00DE635E"/>
    <w:rsid w:val="00E16086"/>
    <w:rsid w:val="00E47EA6"/>
    <w:rsid w:val="00E87DEE"/>
    <w:rsid w:val="00EC3746"/>
    <w:rsid w:val="00F1759D"/>
    <w:rsid w:val="00F45E07"/>
    <w:rsid w:val="00F539FB"/>
    <w:rsid w:val="00F85528"/>
    <w:rsid w:val="00F86511"/>
    <w:rsid w:val="00F955F1"/>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C315D2"/>
    <w:rPr>
      <w:rFonts w:eastAsiaTheme="majorEastAsia" w:cstheme="majorBidi"/>
      <w:i/>
      <w:iCs/>
      <w:color w:val="0F4761" w:themeColor="accent1" w:themeShade="BF"/>
    </w:rPr>
  </w:style>
  <w:style w:type="character" w:customStyle="1" w:styleId="50">
    <w:name w:val="标题 5 字符"/>
    <w:basedOn w:val="a0"/>
    <w:link w:val="5"/>
    <w:uiPriority w:val="9"/>
    <w:semiHidden/>
    <w:rsid w:val="00C315D2"/>
    <w:rPr>
      <w:rFonts w:eastAsiaTheme="majorEastAsia" w:cstheme="majorBidi"/>
      <w:color w:val="0F4761" w:themeColor="accent1" w:themeShade="BF"/>
    </w:rPr>
  </w:style>
  <w:style w:type="character" w:customStyle="1" w:styleId="60">
    <w:name w:val="标题 6 字符"/>
    <w:basedOn w:val="a0"/>
    <w:link w:val="6"/>
    <w:uiPriority w:val="9"/>
    <w:semiHidden/>
    <w:rsid w:val="00C315D2"/>
    <w:rPr>
      <w:rFonts w:eastAsiaTheme="majorEastAsia" w:cstheme="majorBidi"/>
      <w:i/>
      <w:iCs/>
      <w:color w:val="595959" w:themeColor="text1" w:themeTint="A6"/>
    </w:rPr>
  </w:style>
  <w:style w:type="character" w:customStyle="1" w:styleId="70">
    <w:name w:val="标题 7 字符"/>
    <w:basedOn w:val="a0"/>
    <w:link w:val="7"/>
    <w:uiPriority w:val="9"/>
    <w:semiHidden/>
    <w:rsid w:val="00C315D2"/>
    <w:rPr>
      <w:rFonts w:eastAsiaTheme="majorEastAsia" w:cstheme="majorBidi"/>
      <w:color w:val="595959" w:themeColor="text1" w:themeTint="A6"/>
    </w:rPr>
  </w:style>
  <w:style w:type="character" w:customStyle="1" w:styleId="80">
    <w:name w:val="标题 8 字符"/>
    <w:basedOn w:val="a0"/>
    <w:link w:val="8"/>
    <w:uiPriority w:val="9"/>
    <w:semiHidden/>
    <w:rsid w:val="00C315D2"/>
    <w:rPr>
      <w:rFonts w:eastAsiaTheme="majorEastAsia" w:cstheme="majorBidi"/>
      <w:i/>
      <w:iCs/>
      <w:color w:val="272727" w:themeColor="text1" w:themeTint="D8"/>
    </w:rPr>
  </w:style>
  <w:style w:type="character" w:customStyle="1" w:styleId="90">
    <w:name w:val="标题 9 字符"/>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 字符"/>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aa">
    <w:name w:val="Intense Emphasis"/>
    <w:basedOn w:val="a0"/>
    <w:uiPriority w:val="21"/>
    <w:qFormat/>
    <w:rsid w:val="00C315D2"/>
    <w:rPr>
      <w:i/>
      <w:iCs/>
      <w:color w:val="0F4761" w:themeColor="accent1" w:themeShade="BF"/>
    </w:rPr>
  </w:style>
  <w:style w:type="paragraph" w:styleId="ab">
    <w:name w:val="Intense Quote"/>
    <w:basedOn w:val="a"/>
    <w:next w:val="a"/>
    <w:link w:val="ac"/>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315D2"/>
    <w:rPr>
      <w:i/>
      <w:iCs/>
      <w:color w:val="0F4761" w:themeColor="accent1" w:themeShade="BF"/>
    </w:rPr>
  </w:style>
  <w:style w:type="character" w:styleId="ad">
    <w:name w:val="Intense Reference"/>
    <w:basedOn w:val="a0"/>
    <w:uiPriority w:val="32"/>
    <w:qFormat/>
    <w:rsid w:val="00C315D2"/>
    <w:rPr>
      <w:b/>
      <w:bCs/>
      <w:smallCaps/>
      <w:color w:val="0F4761" w:themeColor="accent1" w:themeShade="BF"/>
      <w:spacing w:val="5"/>
    </w:rPr>
  </w:style>
  <w:style w:type="paragraph" w:styleId="ae">
    <w:name w:val="endnote text"/>
    <w:basedOn w:val="a"/>
    <w:link w:val="af"/>
    <w:uiPriority w:val="99"/>
    <w:semiHidden/>
    <w:unhideWhenUsed/>
    <w:rsid w:val="0000691D"/>
    <w:pPr>
      <w:snapToGrid w:val="0"/>
    </w:pPr>
  </w:style>
  <w:style w:type="character" w:customStyle="1" w:styleId="af">
    <w:name w:val="尾注文本 字符"/>
    <w:basedOn w:val="a0"/>
    <w:link w:val="ae"/>
    <w:uiPriority w:val="99"/>
    <w:semiHidden/>
    <w:rsid w:val="0000691D"/>
  </w:style>
  <w:style w:type="character" w:styleId="af0">
    <w:name w:val="endnote reference"/>
    <w:basedOn w:val="a0"/>
    <w:uiPriority w:val="99"/>
    <w:semiHidden/>
    <w:unhideWhenUsed/>
    <w:rsid w:val="00006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Deng Jiayin</cp:lastModifiedBy>
  <cp:revision>48</cp:revision>
  <dcterms:created xsi:type="dcterms:W3CDTF">2025-03-11T02:17:00Z</dcterms:created>
  <dcterms:modified xsi:type="dcterms:W3CDTF">2025-07-14T10:28:00Z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