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B9EE4" w14:textId="0F758FF4" w:rsidR="00506CD3" w:rsidRPr="00506CD3" w:rsidRDefault="00B550A7" w:rsidP="00506CD3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0"/>
          <w:szCs w:val="20"/>
          <w:lang w:val="en-AU"/>
          <w14:ligatures w14:val="none"/>
        </w:rPr>
      </w:pPr>
      <w:r>
        <w:rPr>
          <w:rFonts w:ascii="Calibri" w:eastAsia="Times New Roman" w:hAnsi="Calibri" w:cs="Calibri"/>
          <w:b/>
          <w:kern w:val="0"/>
          <w:sz w:val="20"/>
          <w:szCs w:val="20"/>
          <w:lang w:val="en-AU"/>
          <w14:ligatures w14:val="none"/>
        </w:rPr>
        <w:t>Implications of p</w:t>
      </w:r>
      <w:r w:rsidR="001B7019">
        <w:rPr>
          <w:rFonts w:ascii="Calibri" w:eastAsia="Times New Roman" w:hAnsi="Calibri" w:cs="Calibri"/>
          <w:b/>
          <w:kern w:val="0"/>
          <w:sz w:val="20"/>
          <w:szCs w:val="20"/>
          <w:lang w:val="en-AU"/>
          <w14:ligatures w14:val="none"/>
        </w:rPr>
        <w:t>harmacokinetic</w:t>
      </w:r>
      <w:r>
        <w:rPr>
          <w:rFonts w:ascii="Calibri" w:eastAsia="Times New Roman" w:hAnsi="Calibri" w:cs="Calibri"/>
          <w:b/>
          <w:kern w:val="0"/>
          <w:sz w:val="20"/>
          <w:szCs w:val="20"/>
          <w:lang w:val="en-AU"/>
          <w14:ligatures w14:val="none"/>
        </w:rPr>
        <w:t xml:space="preserve"> differences</w:t>
      </w:r>
      <w:r w:rsidRPr="00B550A7">
        <w:rPr>
          <w:rFonts w:ascii="Calibri" w:eastAsia="Times New Roman" w:hAnsi="Calibri" w:cs="Calibri"/>
          <w:b/>
          <w:kern w:val="0"/>
          <w:sz w:val="20"/>
          <w:szCs w:val="20"/>
          <w:lang w:val="en-AU"/>
          <w14:ligatures w14:val="none"/>
        </w:rPr>
        <w:t xml:space="preserve"> </w:t>
      </w:r>
      <w:r>
        <w:rPr>
          <w:rFonts w:ascii="Calibri" w:eastAsia="Times New Roman" w:hAnsi="Calibri" w:cs="Calibri"/>
          <w:b/>
          <w:kern w:val="0"/>
          <w:sz w:val="20"/>
          <w:szCs w:val="20"/>
          <w:lang w:val="en-AU"/>
          <w14:ligatures w14:val="none"/>
        </w:rPr>
        <w:t xml:space="preserve">between marmosets and humans for the dose rationale </w:t>
      </w:r>
      <w:proofErr w:type="gramStart"/>
      <w:r>
        <w:rPr>
          <w:rFonts w:ascii="Calibri" w:eastAsia="Times New Roman" w:hAnsi="Calibri" w:cs="Calibri"/>
          <w:b/>
          <w:kern w:val="0"/>
          <w:sz w:val="20"/>
          <w:szCs w:val="20"/>
          <w:lang w:val="en-AU"/>
          <w14:ligatures w14:val="none"/>
        </w:rPr>
        <w:t xml:space="preserve">of </w:t>
      </w:r>
      <w:r w:rsidR="001B7019">
        <w:rPr>
          <w:rFonts w:ascii="Calibri" w:eastAsia="Times New Roman" w:hAnsi="Calibri" w:cs="Calibri"/>
          <w:b/>
          <w:kern w:val="0"/>
          <w:sz w:val="20"/>
          <w:szCs w:val="20"/>
          <w:lang w:val="en-AU"/>
          <w14:ligatures w14:val="none"/>
        </w:rPr>
        <w:t xml:space="preserve"> antitubercular</w:t>
      </w:r>
      <w:proofErr w:type="gramEnd"/>
      <w:r w:rsidR="001B7019">
        <w:rPr>
          <w:rFonts w:ascii="Calibri" w:eastAsia="Times New Roman" w:hAnsi="Calibri" w:cs="Calibri"/>
          <w:b/>
          <w:kern w:val="0"/>
          <w:sz w:val="20"/>
          <w:szCs w:val="20"/>
          <w:lang w:val="en-AU"/>
          <w14:ligatures w14:val="none"/>
        </w:rPr>
        <w:t xml:space="preserve"> </w:t>
      </w:r>
      <w:r w:rsidR="003C0848">
        <w:rPr>
          <w:rFonts w:ascii="Calibri" w:eastAsia="Times New Roman" w:hAnsi="Calibri" w:cs="Calibri"/>
          <w:b/>
          <w:kern w:val="0"/>
          <w:sz w:val="20"/>
          <w:szCs w:val="20"/>
          <w:lang w:val="en-AU"/>
          <w14:ligatures w14:val="none"/>
        </w:rPr>
        <w:t xml:space="preserve">drug </w:t>
      </w:r>
      <w:r w:rsidR="001B7019">
        <w:rPr>
          <w:rFonts w:ascii="Calibri" w:eastAsia="Times New Roman" w:hAnsi="Calibri" w:cs="Calibri"/>
          <w:b/>
          <w:kern w:val="0"/>
          <w:sz w:val="20"/>
          <w:szCs w:val="20"/>
          <w:lang w:val="en-AU"/>
          <w14:ligatures w14:val="none"/>
        </w:rPr>
        <w:t>regimen</w:t>
      </w:r>
      <w:r>
        <w:rPr>
          <w:rFonts w:ascii="Calibri" w:eastAsia="Times New Roman" w:hAnsi="Calibri" w:cs="Calibri"/>
          <w:b/>
          <w:kern w:val="0"/>
          <w:sz w:val="20"/>
          <w:szCs w:val="20"/>
          <w:lang w:val="en-AU"/>
          <w14:ligatures w14:val="none"/>
        </w:rPr>
        <w:t>s</w:t>
      </w:r>
      <w:r w:rsidR="001B7019">
        <w:rPr>
          <w:rFonts w:ascii="Calibri" w:eastAsia="Times New Roman" w:hAnsi="Calibri" w:cs="Calibri"/>
          <w:b/>
          <w:kern w:val="0"/>
          <w:sz w:val="20"/>
          <w:szCs w:val="20"/>
          <w:lang w:val="en-AU"/>
          <w14:ligatures w14:val="none"/>
        </w:rPr>
        <w:t>.</w:t>
      </w:r>
    </w:p>
    <w:p w14:paraId="1AA81D6D" w14:textId="64F4B348" w:rsidR="00B32393" w:rsidRPr="00EF47FD" w:rsidRDefault="007A2CC0" w:rsidP="00506CD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val="it-IT"/>
          <w14:ligatures w14:val="none"/>
        </w:rPr>
      </w:pPr>
      <w:r w:rsidRPr="00EF47FD">
        <w:rPr>
          <w:rFonts w:ascii="Calibri" w:eastAsia="Times New Roman" w:hAnsi="Calibri" w:cs="Calibri"/>
          <w:kern w:val="0"/>
          <w:sz w:val="20"/>
          <w:szCs w:val="20"/>
          <w:lang w:val="it-IT"/>
          <w14:ligatures w14:val="none"/>
        </w:rPr>
        <w:t xml:space="preserve">Peter Velickovic </w:t>
      </w:r>
      <w:r w:rsidRPr="00EF47FD">
        <w:rPr>
          <w:rFonts w:ascii="Calibri" w:eastAsia="Times New Roman" w:hAnsi="Calibri" w:cs="Calibri"/>
          <w:kern w:val="0"/>
          <w:sz w:val="20"/>
          <w:szCs w:val="20"/>
          <w:vertAlign w:val="superscript"/>
          <w:lang w:val="it-IT"/>
          <w14:ligatures w14:val="none"/>
        </w:rPr>
        <w:t>1</w:t>
      </w:r>
      <w:r w:rsidR="005A222D" w:rsidRPr="00EF47FD">
        <w:rPr>
          <w:rFonts w:ascii="Calibri" w:eastAsia="Times New Roman" w:hAnsi="Calibri" w:cs="Calibri"/>
          <w:kern w:val="0"/>
          <w:sz w:val="20"/>
          <w:szCs w:val="20"/>
          <w:vertAlign w:val="superscript"/>
          <w:lang w:val="it-IT"/>
          <w14:ligatures w14:val="none"/>
        </w:rPr>
        <w:t>,</w:t>
      </w:r>
      <w:r w:rsidR="00B550A7" w:rsidRPr="00EF47FD">
        <w:rPr>
          <w:rFonts w:ascii="Calibri" w:eastAsia="Times New Roman" w:hAnsi="Calibri" w:cs="Calibri"/>
          <w:kern w:val="0"/>
          <w:sz w:val="20"/>
          <w:szCs w:val="20"/>
          <w:vertAlign w:val="superscript"/>
          <w:lang w:val="it-IT"/>
          <w14:ligatures w14:val="none"/>
        </w:rPr>
        <w:t>2</w:t>
      </w:r>
      <w:r w:rsidRPr="00EF47FD">
        <w:rPr>
          <w:rFonts w:ascii="Calibri" w:eastAsia="Times New Roman" w:hAnsi="Calibri" w:cs="Calibri"/>
          <w:kern w:val="0"/>
          <w:sz w:val="20"/>
          <w:szCs w:val="20"/>
          <w:lang w:val="it-IT"/>
          <w14:ligatures w14:val="none"/>
        </w:rPr>
        <w:t xml:space="preserve">, </w:t>
      </w:r>
      <w:r w:rsidR="007E1802" w:rsidRPr="00EF47FD">
        <w:rPr>
          <w:rFonts w:ascii="Calibri" w:eastAsia="Times New Roman" w:hAnsi="Calibri" w:cs="Calibri"/>
          <w:kern w:val="0"/>
          <w:sz w:val="20"/>
          <w:szCs w:val="20"/>
          <w:lang w:val="it-IT"/>
          <w14:ligatures w14:val="none"/>
        </w:rPr>
        <w:t xml:space="preserve">Silvia Grandoni </w:t>
      </w:r>
      <w:r w:rsidR="007E1802" w:rsidRPr="00EF47FD">
        <w:rPr>
          <w:rFonts w:ascii="Calibri" w:eastAsia="Times New Roman" w:hAnsi="Calibri" w:cs="Calibri"/>
          <w:kern w:val="0"/>
          <w:sz w:val="20"/>
          <w:szCs w:val="20"/>
          <w:vertAlign w:val="superscript"/>
          <w:lang w:val="it-IT"/>
          <w14:ligatures w14:val="none"/>
        </w:rPr>
        <w:t>1</w:t>
      </w:r>
      <w:r w:rsidR="007E1802" w:rsidRPr="00EF47FD">
        <w:rPr>
          <w:rFonts w:ascii="Calibri" w:eastAsia="Times New Roman" w:hAnsi="Calibri" w:cs="Calibri"/>
          <w:kern w:val="0"/>
          <w:sz w:val="20"/>
          <w:szCs w:val="20"/>
          <w:lang w:val="it-IT"/>
          <w14:ligatures w14:val="none"/>
        </w:rPr>
        <w:t xml:space="preserve">, </w:t>
      </w:r>
      <w:r w:rsidRPr="00EF47FD">
        <w:rPr>
          <w:rFonts w:ascii="Calibri" w:eastAsia="Times New Roman" w:hAnsi="Calibri" w:cs="Calibri"/>
          <w:kern w:val="0"/>
          <w:sz w:val="20"/>
          <w:szCs w:val="20"/>
          <w:lang w:val="it-IT"/>
          <w14:ligatures w14:val="none"/>
        </w:rPr>
        <w:t xml:space="preserve">Umberto Villani </w:t>
      </w:r>
      <w:r w:rsidR="00CA7A7B" w:rsidRPr="00EF47FD">
        <w:rPr>
          <w:rFonts w:ascii="Calibri" w:eastAsia="Times New Roman" w:hAnsi="Calibri" w:cs="Calibri"/>
          <w:kern w:val="0"/>
          <w:sz w:val="20"/>
          <w:szCs w:val="20"/>
          <w:vertAlign w:val="superscript"/>
          <w:lang w:val="it-IT"/>
          <w14:ligatures w14:val="none"/>
        </w:rPr>
        <w:t>1,2</w:t>
      </w:r>
      <w:r w:rsidRPr="00EF47FD">
        <w:rPr>
          <w:rFonts w:ascii="Calibri" w:eastAsia="Times New Roman" w:hAnsi="Calibri" w:cs="Calibri"/>
          <w:kern w:val="0"/>
          <w:sz w:val="20"/>
          <w:szCs w:val="20"/>
          <w:lang w:val="it-IT"/>
          <w14:ligatures w14:val="none"/>
        </w:rPr>
        <w:t>, Salvatore D’Agate</w:t>
      </w:r>
      <w:r w:rsidR="00CA7A7B" w:rsidRPr="00EF47FD">
        <w:rPr>
          <w:rFonts w:ascii="Calibri" w:eastAsia="Times New Roman" w:hAnsi="Calibri" w:cs="Calibri"/>
          <w:kern w:val="0"/>
          <w:sz w:val="20"/>
          <w:szCs w:val="20"/>
          <w:lang w:val="it-IT"/>
          <w14:ligatures w14:val="none"/>
        </w:rPr>
        <w:t xml:space="preserve"> </w:t>
      </w:r>
      <w:r w:rsidR="00CA7A7B" w:rsidRPr="00EF47FD">
        <w:rPr>
          <w:rFonts w:ascii="Calibri" w:eastAsia="Times New Roman" w:hAnsi="Calibri" w:cs="Calibri"/>
          <w:kern w:val="0"/>
          <w:sz w:val="20"/>
          <w:szCs w:val="20"/>
          <w:vertAlign w:val="superscript"/>
          <w:lang w:val="it-IT"/>
          <w14:ligatures w14:val="none"/>
        </w:rPr>
        <w:t>1,2</w:t>
      </w:r>
      <w:r w:rsidRPr="00EF47FD">
        <w:rPr>
          <w:rFonts w:ascii="Calibri" w:eastAsia="Times New Roman" w:hAnsi="Calibri" w:cs="Calibri"/>
          <w:kern w:val="0"/>
          <w:sz w:val="20"/>
          <w:szCs w:val="20"/>
          <w:lang w:val="it-IT"/>
          <w14:ligatures w14:val="none"/>
        </w:rPr>
        <w:t xml:space="preserve">, Candie Joly </w:t>
      </w:r>
      <w:r w:rsidR="00CA7A7B" w:rsidRPr="00EF47FD">
        <w:rPr>
          <w:rFonts w:ascii="Calibri" w:eastAsia="Times New Roman" w:hAnsi="Calibri" w:cs="Calibri"/>
          <w:kern w:val="0"/>
          <w:sz w:val="20"/>
          <w:szCs w:val="20"/>
          <w:vertAlign w:val="superscript"/>
          <w:lang w:val="it-IT"/>
          <w14:ligatures w14:val="none"/>
        </w:rPr>
        <w:t>3</w:t>
      </w:r>
      <w:r w:rsidRPr="00EF47FD">
        <w:rPr>
          <w:rFonts w:ascii="Calibri" w:eastAsia="Times New Roman" w:hAnsi="Calibri" w:cs="Calibri"/>
          <w:kern w:val="0"/>
          <w:sz w:val="20"/>
          <w:szCs w:val="20"/>
          <w:lang w:val="it-IT"/>
          <w14:ligatures w14:val="none"/>
        </w:rPr>
        <w:t xml:space="preserve">, Julien Lemaitre </w:t>
      </w:r>
      <w:r w:rsidR="00CA7A7B" w:rsidRPr="00EF47FD">
        <w:rPr>
          <w:rFonts w:ascii="Calibri" w:eastAsia="Times New Roman" w:hAnsi="Calibri" w:cs="Calibri"/>
          <w:kern w:val="0"/>
          <w:sz w:val="20"/>
          <w:szCs w:val="20"/>
          <w:vertAlign w:val="superscript"/>
          <w:lang w:val="it-IT"/>
          <w14:ligatures w14:val="none"/>
        </w:rPr>
        <w:t>3</w:t>
      </w:r>
      <w:r w:rsidRPr="00EF47FD">
        <w:rPr>
          <w:rFonts w:ascii="Calibri" w:eastAsia="Times New Roman" w:hAnsi="Calibri" w:cs="Calibri"/>
          <w:kern w:val="0"/>
          <w:sz w:val="20"/>
          <w:szCs w:val="20"/>
          <w:lang w:val="it-IT"/>
          <w14:ligatures w14:val="none"/>
        </w:rPr>
        <w:t xml:space="preserve">, </w:t>
      </w:r>
      <w:r w:rsidR="00B32393" w:rsidRPr="00EF47FD">
        <w:rPr>
          <w:rFonts w:ascii="Calibri" w:eastAsia="Times New Roman" w:hAnsi="Calibri" w:cs="Calibri"/>
          <w:kern w:val="0"/>
          <w:sz w:val="20"/>
          <w:szCs w:val="20"/>
          <w:lang w:val="it-IT"/>
          <w14:ligatures w14:val="none"/>
        </w:rPr>
        <w:t>Laura Via</w:t>
      </w:r>
      <w:r w:rsidR="00CA7A7B" w:rsidRPr="00EF47FD">
        <w:rPr>
          <w:rFonts w:ascii="Calibri" w:eastAsia="Times New Roman" w:hAnsi="Calibri" w:cs="Calibri"/>
          <w:kern w:val="0"/>
          <w:sz w:val="20"/>
          <w:szCs w:val="20"/>
          <w:lang w:val="it-IT"/>
          <w14:ligatures w14:val="none"/>
        </w:rPr>
        <w:t xml:space="preserve"> </w:t>
      </w:r>
      <w:r w:rsidR="00CA7A7B" w:rsidRPr="00EF47FD">
        <w:rPr>
          <w:rFonts w:ascii="Calibri" w:eastAsia="Times New Roman" w:hAnsi="Calibri" w:cs="Calibri"/>
          <w:kern w:val="0"/>
          <w:sz w:val="20"/>
          <w:szCs w:val="20"/>
          <w:vertAlign w:val="superscript"/>
          <w:lang w:val="it-IT"/>
          <w14:ligatures w14:val="none"/>
        </w:rPr>
        <w:t>4,5</w:t>
      </w:r>
      <w:r w:rsidR="00CA7A7B" w:rsidRPr="00EF47FD">
        <w:rPr>
          <w:rFonts w:ascii="Calibri" w:eastAsia="Times New Roman" w:hAnsi="Calibri" w:cs="Calibri"/>
          <w:kern w:val="0"/>
          <w:sz w:val="20"/>
          <w:szCs w:val="20"/>
          <w:lang w:val="it-IT"/>
          <w14:ligatures w14:val="none"/>
        </w:rPr>
        <w:t>,</w:t>
      </w:r>
      <w:r w:rsidR="00B32393" w:rsidRPr="00EF47FD">
        <w:rPr>
          <w:rFonts w:ascii="Calibri" w:eastAsia="Times New Roman" w:hAnsi="Calibri" w:cs="Calibri"/>
          <w:kern w:val="0"/>
          <w:sz w:val="20"/>
          <w:szCs w:val="20"/>
          <w:lang w:val="it-IT"/>
          <w14:ligatures w14:val="none"/>
        </w:rPr>
        <w:t xml:space="preserve"> </w:t>
      </w:r>
      <w:r w:rsidRPr="00EF47FD">
        <w:rPr>
          <w:rFonts w:ascii="Calibri" w:eastAsia="Times New Roman" w:hAnsi="Calibri" w:cs="Calibri"/>
          <w:kern w:val="0"/>
          <w:sz w:val="20"/>
          <w:szCs w:val="20"/>
          <w:lang w:val="it-IT"/>
          <w14:ligatures w14:val="none"/>
        </w:rPr>
        <w:t xml:space="preserve">Oscar Della Pasqua </w:t>
      </w:r>
      <w:r w:rsidR="00CA7A7B" w:rsidRPr="00EF47FD">
        <w:rPr>
          <w:rFonts w:ascii="Calibri" w:eastAsia="Times New Roman" w:hAnsi="Calibri" w:cs="Calibri"/>
          <w:kern w:val="0"/>
          <w:sz w:val="20"/>
          <w:szCs w:val="20"/>
          <w:vertAlign w:val="superscript"/>
          <w:lang w:val="it-IT"/>
          <w14:ligatures w14:val="none"/>
        </w:rPr>
        <w:t>1,2</w:t>
      </w:r>
      <w:r w:rsidR="00CA7A7B" w:rsidRPr="00EF47FD">
        <w:rPr>
          <w:rFonts w:ascii="Calibri" w:eastAsia="Times New Roman" w:hAnsi="Calibri" w:cs="Calibri"/>
          <w:kern w:val="0"/>
          <w:sz w:val="20"/>
          <w:szCs w:val="20"/>
          <w:lang w:val="it-IT"/>
          <w14:ligatures w14:val="none"/>
        </w:rPr>
        <w:t xml:space="preserve"> </w:t>
      </w:r>
      <w:r w:rsidRPr="00EF47FD">
        <w:rPr>
          <w:rFonts w:ascii="Calibri" w:eastAsia="Times New Roman" w:hAnsi="Calibri" w:cs="Calibri"/>
          <w:kern w:val="0"/>
          <w:sz w:val="20"/>
          <w:szCs w:val="20"/>
          <w:lang w:val="it-IT"/>
          <w14:ligatures w14:val="none"/>
        </w:rPr>
        <w:t xml:space="preserve"> </w:t>
      </w:r>
    </w:p>
    <w:p w14:paraId="3139A06E" w14:textId="1572F9A9" w:rsidR="00B550A7" w:rsidRPr="00BC436E" w:rsidRDefault="007A2CC0" w:rsidP="00506CD3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:lang w:val="en-AU"/>
          <w14:ligatures w14:val="none"/>
        </w:rPr>
      </w:pPr>
      <w:r w:rsidRPr="00EF47FD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 xml:space="preserve">(1) </w:t>
      </w:r>
      <w:r w:rsidR="00B550A7" w:rsidRPr="00EF47FD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 xml:space="preserve">Consiglio Nazionale </w:t>
      </w:r>
      <w:proofErr w:type="spellStart"/>
      <w:r w:rsidR="00407CFD" w:rsidRPr="00EF47FD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>de</w:t>
      </w:r>
      <w:r w:rsidR="00B550A7" w:rsidRPr="00EF47FD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>lle</w:t>
      </w:r>
      <w:proofErr w:type="spellEnd"/>
      <w:r w:rsidR="00B550A7" w:rsidRPr="00EF47FD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 xml:space="preserve"> </w:t>
      </w:r>
      <w:proofErr w:type="spellStart"/>
      <w:r w:rsidR="00B550A7" w:rsidRPr="00EF47FD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>Ricerche</w:t>
      </w:r>
      <w:proofErr w:type="spellEnd"/>
      <w:r w:rsidR="00B550A7" w:rsidRPr="00EF47FD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 xml:space="preserve"> (CNR), Rome, </w:t>
      </w:r>
      <w:proofErr w:type="gramStart"/>
      <w:r w:rsidR="00B550A7" w:rsidRPr="00EF47FD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>Italy ;</w:t>
      </w:r>
      <w:proofErr w:type="gramEnd"/>
      <w:r w:rsidR="00B550A7" w:rsidRPr="00EF47FD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 xml:space="preserve"> (2) </w:t>
      </w:r>
      <w:r w:rsidRPr="00EF47FD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>Clinical Pharmacology and Therapeutics Group, University College London (UCL), London, United Kingdom, (</w:t>
      </w:r>
      <w:r w:rsidR="00B550A7" w:rsidRPr="00EF47FD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>3</w:t>
      </w:r>
      <w:r w:rsidRPr="00EF47FD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>) Université, Paris-</w:t>
      </w:r>
      <w:proofErr w:type="spellStart"/>
      <w:r w:rsidRPr="00EF47FD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>Saclay</w:t>
      </w:r>
      <w:proofErr w:type="spellEnd"/>
      <w:r w:rsidRPr="00EF47FD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 xml:space="preserve">, </w:t>
      </w:r>
      <w:proofErr w:type="spellStart"/>
      <w:r w:rsidRPr="00EF47FD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>Inserm</w:t>
      </w:r>
      <w:proofErr w:type="spellEnd"/>
      <w:r w:rsidRPr="00EF47FD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 xml:space="preserve">, CEA, </w:t>
      </w:r>
      <w:proofErr w:type="spellStart"/>
      <w:r w:rsidRPr="00EF47FD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>Center</w:t>
      </w:r>
      <w:proofErr w:type="spellEnd"/>
      <w:r w:rsidRPr="00EF47FD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 xml:space="preserve"> for Immunology of Viral, Auto-Immune, </w:t>
      </w:r>
      <w:proofErr w:type="spellStart"/>
      <w:r w:rsidRPr="00EF47FD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>Hematological</w:t>
      </w:r>
      <w:proofErr w:type="spellEnd"/>
      <w:r w:rsidRPr="00EF47FD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 xml:space="preserve"> and Bacterial Diseases (IMVA-HB/IDMIT), Fontenay-aux-Roses, France.</w:t>
      </w:r>
      <w:r w:rsidR="005A222D" w:rsidRPr="00EF47FD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 xml:space="preserve"> </w:t>
      </w:r>
      <w:r w:rsidR="00B32393" w:rsidRPr="00EF47FD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 xml:space="preserve">(4) </w:t>
      </w:r>
      <w:r w:rsidR="00406B43" w:rsidRPr="00EF47FD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 xml:space="preserve">Tuberculosis Research Section, Laboratory of Clinical Infectious Diseases, </w:t>
      </w:r>
      <w:r w:rsidR="00F80208" w:rsidRPr="00EF47FD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 xml:space="preserve">Bethesda, Maryland, USA </w:t>
      </w:r>
      <w:r w:rsidR="00406B43" w:rsidRPr="00EF47FD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>(</w:t>
      </w:r>
      <w:r w:rsidR="00B32393" w:rsidRPr="00EF47FD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>5</w:t>
      </w:r>
      <w:r w:rsidR="00406B43" w:rsidRPr="00EF47FD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 xml:space="preserve">) Tuberculosis Imaging Program, Division of Intramural Research, </w:t>
      </w:r>
      <w:r w:rsidR="00B32393" w:rsidRPr="00EF47FD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>NIAID</w:t>
      </w:r>
      <w:r w:rsidR="00406B43" w:rsidRPr="00EF47FD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 xml:space="preserve">, </w:t>
      </w:r>
      <w:r w:rsidR="00B32393" w:rsidRPr="00EF47FD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>NIH</w:t>
      </w:r>
      <w:r w:rsidR="00406B43" w:rsidRPr="00EF47FD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>, Bethesda, Maryland, USA</w:t>
      </w:r>
    </w:p>
    <w:p w14:paraId="6062A119" w14:textId="44B09921" w:rsidR="00506CD3" w:rsidRPr="00506CD3" w:rsidRDefault="00506CD3" w:rsidP="00506CD3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  <w:r w:rsidRPr="00506CD3">
        <w:rPr>
          <w:rFonts w:ascii="Calibri" w:eastAsia="Times New Roman" w:hAnsi="Calibri" w:cs="Calibri"/>
          <w:b/>
          <w:bCs/>
          <w:kern w:val="0"/>
          <w:sz w:val="20"/>
          <w:szCs w:val="20"/>
          <w:lang w:val="en-AU"/>
          <w14:ligatures w14:val="none"/>
        </w:rPr>
        <w:t>Introduction</w:t>
      </w:r>
      <w:r w:rsidR="00A5209F">
        <w:rPr>
          <w:rFonts w:ascii="Calibri" w:eastAsia="Times New Roman" w:hAnsi="Calibri" w:cs="Calibri"/>
          <w:b/>
          <w:bCs/>
          <w:kern w:val="0"/>
          <w:sz w:val="20"/>
          <w:szCs w:val="20"/>
          <w:lang w:val="en-AU"/>
          <w14:ligatures w14:val="none"/>
        </w:rPr>
        <w:t>.</w:t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:lang w:val="en-A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A new </w:t>
      </w:r>
      <w:r w:rsidR="008950B0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non-human</w:t>
      </w: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primate species, t</w:t>
      </w:r>
      <w:r w:rsidRPr="00506CD3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he common marmoset (</w:t>
      </w:r>
      <w:r w:rsidRPr="00506CD3"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  <w:t>Callithrix jacchus</w:t>
      </w:r>
      <w:r w:rsidRPr="00506CD3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), has emerged as a promising preclinical TB model due to its </w:t>
      </w:r>
      <w:r w:rsidR="001B7019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tractability and </w:t>
      </w:r>
      <w:r w:rsidRPr="00506CD3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ability to replicate key pathological features of human disease</w:t>
      </w:r>
      <w:r w:rsidR="00D05FF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(Via et al., </w:t>
      </w:r>
      <w:r w:rsidR="001B06B2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2013)</w:t>
      </w:r>
      <w:r w:rsidR="00034355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, however interspecies PK differences have not been fully characterised</w:t>
      </w:r>
      <w:r w:rsidR="001B7019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.</w:t>
      </w:r>
      <w:r w:rsidR="003C29E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</w:t>
      </w:r>
    </w:p>
    <w:p w14:paraId="42CB3863" w14:textId="152642DD" w:rsidR="00506CD3" w:rsidRPr="00506CD3" w:rsidRDefault="00506CD3" w:rsidP="00506CD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</w:pPr>
      <w:r w:rsidRPr="00506CD3">
        <w:rPr>
          <w:rFonts w:ascii="Calibri" w:eastAsia="Times New Roman" w:hAnsi="Calibri" w:cs="Calibri"/>
          <w:b/>
          <w:bCs/>
          <w:kern w:val="0"/>
          <w:sz w:val="20"/>
          <w:szCs w:val="20"/>
          <w:lang w:val="en-AU"/>
          <w14:ligatures w14:val="none"/>
        </w:rPr>
        <w:t>Aims</w:t>
      </w:r>
      <w:r w:rsidRPr="00506CD3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 xml:space="preserve">. </w:t>
      </w:r>
      <w:r w:rsidR="003C0848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>Here we evaluate the implications of differences between marmosets and humans for the dose rationale of an antitubercular drug regimen with</w:t>
      </w:r>
      <w:r w:rsidR="001B7019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 xml:space="preserve"> isoniazid(H)</w:t>
      </w:r>
      <w:r w:rsidR="001B7019" w:rsidRPr="00506CD3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>,</w:t>
      </w:r>
      <w:r w:rsidR="001B7019" w:rsidRPr="001B7019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 xml:space="preserve"> </w:t>
      </w:r>
      <w:r w:rsidR="001B7019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>rifampicin (R)</w:t>
      </w:r>
      <w:r w:rsidR="001B7019" w:rsidRPr="00506CD3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 xml:space="preserve">, </w:t>
      </w:r>
      <w:r w:rsidR="001B7019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>pyrazinamide (Z)</w:t>
      </w:r>
      <w:r w:rsidR="001B7019" w:rsidRPr="00506CD3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 xml:space="preserve"> and </w:t>
      </w:r>
      <w:r w:rsidR="001B7019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 xml:space="preserve">ethambutol (E). </w:t>
      </w:r>
    </w:p>
    <w:p w14:paraId="093F14EC" w14:textId="324C8917" w:rsidR="00506CD3" w:rsidRPr="00506CD3" w:rsidRDefault="00506CD3" w:rsidP="00506CD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</w:pPr>
      <w:r w:rsidRPr="00506CD3">
        <w:rPr>
          <w:rFonts w:ascii="Calibri" w:eastAsia="Times New Roman" w:hAnsi="Calibri" w:cs="Calibri"/>
          <w:b/>
          <w:bCs/>
          <w:kern w:val="0"/>
          <w:sz w:val="20"/>
          <w:szCs w:val="20"/>
          <w:lang w:val="en-AU"/>
          <w14:ligatures w14:val="none"/>
        </w:rPr>
        <w:t>Methods</w:t>
      </w:r>
      <w:r w:rsidRPr="00506CD3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>. Pharmacokinetic data were obtained from</w:t>
      </w:r>
      <w:r w:rsidR="00917359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 xml:space="preserve"> 24</w:t>
      </w:r>
      <w:r w:rsidRPr="00506CD3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 xml:space="preserve"> marmosets administered intravenous and oral doses </w:t>
      </w:r>
      <w:r w:rsidR="001B7019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>HRZE</w:t>
      </w:r>
      <w:r w:rsidRPr="00506CD3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 xml:space="preserve">. </w:t>
      </w:r>
      <w:r w:rsidR="00917359" w:rsidRPr="00917359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>All experiments were approved by the NIAID Animal Care and Use Committee.</w:t>
      </w:r>
      <w:r w:rsidR="00917359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 xml:space="preserve"> </w:t>
      </w:r>
      <w:r w:rsidRPr="00506CD3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>Nonlinear mixed-effects modelling (NONMEM v7.5) was used to</w:t>
      </w:r>
      <w:r w:rsidR="003C0848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 xml:space="preserve"> characterise the </w:t>
      </w:r>
      <w:r w:rsidRPr="00506CD3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>disposition</w:t>
      </w:r>
      <w:r w:rsidR="003C0848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 xml:space="preserve"> characteristics of these drugs along with estimates of interindividual variability</w:t>
      </w:r>
      <w:r w:rsidRPr="00506CD3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 xml:space="preserve">. </w:t>
      </w:r>
      <w:r w:rsidR="003C0848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 xml:space="preserve">Extrapolation principles were then applied in conjunction with allometric scaling to predict exposure in </w:t>
      </w:r>
      <w:r w:rsidR="00300261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 xml:space="preserve">a </w:t>
      </w:r>
      <w:r w:rsidR="00F70BD7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>virtual patient population (N=100)</w:t>
      </w:r>
      <w:r w:rsidR="003C0848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 xml:space="preserve"> and assess how it compares </w:t>
      </w:r>
      <w:r w:rsidR="00CC3F4D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>to the</w:t>
      </w:r>
      <w:r w:rsidR="003C0848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 xml:space="preserve"> currently </w:t>
      </w:r>
      <w:r w:rsidR="000A75D4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>recommended dosing</w:t>
      </w:r>
      <w:r w:rsidR="003C0848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 xml:space="preserve"> regimen, assuming similar PKPD relationships across species. All s</w:t>
      </w:r>
      <w:r w:rsidR="001B7019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>imulations were conducted</w:t>
      </w:r>
      <w:r w:rsidR="0089568E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 xml:space="preserve"> using </w:t>
      </w:r>
      <w:r w:rsidR="00751C0E" w:rsidRPr="00751C0E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>R</w:t>
      </w:r>
      <w:r w:rsidR="003C0848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>/</w:t>
      </w:r>
      <w:r w:rsidR="00751C0E" w:rsidRPr="00751C0E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 xml:space="preserve"> RStudio (version 1.4.1106)</w:t>
      </w:r>
      <w:r w:rsidR="00751C0E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>.</w:t>
      </w:r>
      <w:r w:rsidR="00AD3077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 xml:space="preserve"> </w:t>
      </w:r>
      <w:r w:rsidR="00FD2378" w:rsidRPr="00FD2378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 xml:space="preserve">AUC, </w:t>
      </w:r>
      <w:proofErr w:type="gramStart"/>
      <w:r w:rsidR="00BC436E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>CL</w:t>
      </w:r>
      <w:proofErr w:type="gramEnd"/>
      <w:r w:rsidR="00BC436E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 xml:space="preserve"> and V</w:t>
      </w:r>
      <w:r w:rsidR="00FD2378" w:rsidRPr="00FD2378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 xml:space="preserve"> were derived as measures of systemic exposure and disposition to compare extrapolation results with clinical pharmacokinetic data.</w:t>
      </w:r>
    </w:p>
    <w:p w14:paraId="794C40BB" w14:textId="6444ADF0" w:rsidR="00BC436E" w:rsidRDefault="00506CD3" w:rsidP="00506CD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506CD3">
        <w:rPr>
          <w:rFonts w:ascii="Calibri" w:eastAsia="Times New Roman" w:hAnsi="Calibri" w:cs="Calibri"/>
          <w:b/>
          <w:bCs/>
          <w:kern w:val="0"/>
          <w:sz w:val="20"/>
          <w:szCs w:val="20"/>
          <w:lang w:val="en-AU"/>
          <w14:ligatures w14:val="none"/>
        </w:rPr>
        <w:t>Results.</w:t>
      </w:r>
      <w:r w:rsidRPr="00506CD3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 xml:space="preserve"> </w:t>
      </w:r>
      <w:r w:rsidR="00FD2378" w:rsidRPr="00FD2378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Comparison of PK parameters between marmosets and humans showed interspecies differences across compounds. </w:t>
      </w:r>
      <w:r w:rsidR="00BC436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A</w:t>
      </w:r>
      <w:r w:rsidR="00FD2378" w:rsidRPr="00FD2378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llometric scaling of clearance provided estimates </w:t>
      </w:r>
      <w:r w:rsidR="00BC436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showing</w:t>
      </w:r>
      <w:r w:rsidR="00FD2378" w:rsidRPr="00FD2378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larg</w:t>
      </w:r>
      <w:r w:rsidR="00BC436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e</w:t>
      </w:r>
      <w:r w:rsidR="00FD2378" w:rsidRPr="00FD2378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deviations</w:t>
      </w:r>
      <w:r w:rsidR="00BC436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in disposition parameters</w:t>
      </w:r>
      <w:r w:rsidR="00FD2378" w:rsidRPr="00FD2378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. </w:t>
      </w:r>
      <w:r w:rsidR="00034355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Systemic </w:t>
      </w:r>
      <w:r w:rsidR="00F70BD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exposures</w:t>
      </w:r>
      <w:r w:rsidR="00FD2378" w:rsidRPr="00FD2378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were accordingly higher in marmosets at equivalent mg/kg doses</w:t>
      </w:r>
      <w:r w:rsidR="00034355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in humans</w:t>
      </w:r>
      <w:r w:rsidR="00FD2378" w:rsidRPr="00FD2378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.</w:t>
      </w:r>
    </w:p>
    <w:p w14:paraId="41A0C974" w14:textId="3D716953" w:rsidR="00506CD3" w:rsidRPr="00506CD3" w:rsidRDefault="00506CD3" w:rsidP="00506CD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</w:pPr>
      <w:r w:rsidRPr="00506CD3">
        <w:rPr>
          <w:rFonts w:ascii="Calibri" w:eastAsia="Times New Roman" w:hAnsi="Calibri" w:cs="Calibri"/>
          <w:b/>
          <w:bCs/>
          <w:kern w:val="0"/>
          <w:sz w:val="20"/>
          <w:szCs w:val="20"/>
          <w:lang w:val="en-AU"/>
          <w14:ligatures w14:val="none"/>
        </w:rPr>
        <w:t>Discussion.</w:t>
      </w:r>
      <w:r w:rsidRPr="00506CD3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 xml:space="preserve"> </w:t>
      </w:r>
      <w:r w:rsidR="00034355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>H</w:t>
      </w:r>
      <w:r w:rsidRPr="00506CD3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>igh interindividual variability and interspecies differences in drug disposition highlight the need for careful dose selection and further refinement of extrapolation strategies</w:t>
      </w:r>
      <w:r w:rsidR="00034355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 xml:space="preserve"> if </w:t>
      </w:r>
      <w:r w:rsidR="00F70BD7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>non-human</w:t>
      </w:r>
      <w:r w:rsidR="00034355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 xml:space="preserve"> primates are to be used in antitubercular drug research</w:t>
      </w:r>
      <w:r w:rsidRPr="00506CD3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>.</w:t>
      </w:r>
    </w:p>
    <w:p w14:paraId="0B8AB4E1" w14:textId="4F9B4F6F" w:rsidR="00A5209F" w:rsidRPr="00A5209F" w:rsidRDefault="008950B0" w:rsidP="008950B0">
      <w:pPr>
        <w:spacing w:after="0" w:line="240" w:lineRule="auto"/>
        <w:jc w:val="both"/>
        <w:rPr>
          <w:rFonts w:ascii="Calibri" w:eastAsia="Times New Roman" w:hAnsi="Calibri" w:cs="Calibri"/>
          <w:color w:val="0563C1"/>
          <w:kern w:val="0"/>
          <w:sz w:val="20"/>
          <w:szCs w:val="20"/>
          <w:u w:val="single"/>
          <w:lang w:val="en-AU"/>
          <w14:ligatures w14:val="none"/>
        </w:rPr>
      </w:pPr>
      <w:r w:rsidRPr="007A2CC0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Via LE et al (2013) Infect </w:t>
      </w:r>
      <w:proofErr w:type="spellStart"/>
      <w:r w:rsidRPr="007A2CC0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Immun</w:t>
      </w:r>
      <w:proofErr w:type="spellEnd"/>
      <w:r w:rsidRPr="007A2CC0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81(8):2909–2919</w:t>
      </w:r>
      <w:r w:rsidR="007A2CC0" w:rsidRPr="007A2CC0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;</w:t>
      </w:r>
      <w:r w:rsidR="007A2CC0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</w:t>
      </w:r>
      <w:r w:rsidRPr="008950B0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>Beal S et al (2009) NONMEM’s User’s Guides. ICON Development Solutions</w:t>
      </w:r>
      <w:r w:rsidR="007A2CC0" w:rsidRPr="007A2CC0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;</w:t>
      </w:r>
      <w:r w:rsidR="007A2CC0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</w:t>
      </w:r>
      <w:r w:rsidRPr="008950B0">
        <w:rPr>
          <w:rFonts w:ascii="Calibri" w:eastAsia="Times New Roman" w:hAnsi="Calibri" w:cs="Calibri"/>
          <w:kern w:val="0"/>
          <w:sz w:val="20"/>
          <w:szCs w:val="20"/>
          <w:lang w:val="en-AU"/>
          <w14:ligatures w14:val="none"/>
        </w:rPr>
        <w:t xml:space="preserve">R Core Team (2016) R Foundation for Statistical Computing, Vienna. Available at: </w:t>
      </w:r>
      <w:hyperlink r:id="rId5" w:history="1">
        <w:r w:rsidR="00FD2378" w:rsidRPr="006870B2">
          <w:rPr>
            <w:rStyle w:val="Hyperlink"/>
            <w:rFonts w:ascii="Calibri" w:eastAsia="Times New Roman" w:hAnsi="Calibri" w:cs="Calibri"/>
            <w:kern w:val="0"/>
            <w:sz w:val="20"/>
            <w:szCs w:val="20"/>
            <w:lang w:val="en-AU"/>
            <w14:ligatures w14:val="none"/>
          </w:rPr>
          <w:t>https://www.R-project.org/</w:t>
        </w:r>
      </w:hyperlink>
    </w:p>
    <w:sectPr w:rsidR="00A5209F" w:rsidRPr="00A5209F" w:rsidSect="00EF47FD">
      <w:pgSz w:w="11906" w:h="8391" w:orient="landscape" w:code="11"/>
      <w:pgMar w:top="720" w:right="720" w:bottom="720" w:left="72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074D4B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82446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CD3"/>
    <w:rsid w:val="00034355"/>
    <w:rsid w:val="000819FC"/>
    <w:rsid w:val="000A75D4"/>
    <w:rsid w:val="001B06B2"/>
    <w:rsid w:val="001B7019"/>
    <w:rsid w:val="00201196"/>
    <w:rsid w:val="002D5E1E"/>
    <w:rsid w:val="002D6B78"/>
    <w:rsid w:val="00300261"/>
    <w:rsid w:val="003C0848"/>
    <w:rsid w:val="003C29E1"/>
    <w:rsid w:val="00406B43"/>
    <w:rsid w:val="00407CFD"/>
    <w:rsid w:val="00430A3B"/>
    <w:rsid w:val="004A02FC"/>
    <w:rsid w:val="004E4F36"/>
    <w:rsid w:val="00506CD3"/>
    <w:rsid w:val="005A222D"/>
    <w:rsid w:val="00751C0E"/>
    <w:rsid w:val="007A2CC0"/>
    <w:rsid w:val="007E1802"/>
    <w:rsid w:val="008950B0"/>
    <w:rsid w:val="0089568E"/>
    <w:rsid w:val="008E7698"/>
    <w:rsid w:val="00917359"/>
    <w:rsid w:val="00A416B8"/>
    <w:rsid w:val="00A5209F"/>
    <w:rsid w:val="00AD3077"/>
    <w:rsid w:val="00B32393"/>
    <w:rsid w:val="00B550A7"/>
    <w:rsid w:val="00BC436E"/>
    <w:rsid w:val="00CA7A7B"/>
    <w:rsid w:val="00CC3F4D"/>
    <w:rsid w:val="00D05FFA"/>
    <w:rsid w:val="00DD7AE7"/>
    <w:rsid w:val="00DF1678"/>
    <w:rsid w:val="00E06114"/>
    <w:rsid w:val="00EF47FD"/>
    <w:rsid w:val="00F70BD7"/>
    <w:rsid w:val="00F80208"/>
    <w:rsid w:val="00FA7127"/>
    <w:rsid w:val="00FD04EB"/>
    <w:rsid w:val="00FD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756FA"/>
  <w15:chartTrackingRefBased/>
  <w15:docId w15:val="{AB82F459-1E11-4D52-825F-CEBAC2B9B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6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C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C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C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C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C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C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C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C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C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C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C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C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C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C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C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C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C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C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6C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6C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C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C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C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C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CD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06C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06CD3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550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50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50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0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0A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8020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D23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-project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Velickovic</dc:creator>
  <cp:keywords/>
  <dc:description/>
  <cp:lastModifiedBy>Peter Velickovic</cp:lastModifiedBy>
  <cp:revision>9</cp:revision>
  <dcterms:created xsi:type="dcterms:W3CDTF">2025-09-15T08:23:00Z</dcterms:created>
  <dcterms:modified xsi:type="dcterms:W3CDTF">2025-09-15T12:32:00Z</dcterms:modified>
</cp:coreProperties>
</file>