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F423514" w:rsidR="00711813" w:rsidRPr="00DF1C8E" w:rsidRDefault="003804C7" w:rsidP="009A4CFF">
      <w:pPr>
        <w:ind w:left="284" w:right="282"/>
        <w:jc w:val="center"/>
        <w:rPr>
          <w:rFonts w:ascii="Calibri" w:hAnsi="Calibri" w:cs="Calibri"/>
          <w:b/>
          <w:sz w:val="28"/>
          <w:szCs w:val="28"/>
          <w:lang w:val="en-AU"/>
        </w:rPr>
      </w:pPr>
      <w:r w:rsidRPr="003804C7">
        <w:rPr>
          <w:rFonts w:ascii="Calibri" w:hAnsi="Calibri" w:cs="Calibri"/>
          <w:b/>
          <w:sz w:val="28"/>
          <w:szCs w:val="28"/>
          <w:lang w:val="en-AU"/>
        </w:rPr>
        <w:t xml:space="preserve">Characterising </w:t>
      </w:r>
      <w:r>
        <w:rPr>
          <w:rFonts w:ascii="Calibri" w:hAnsi="Calibri" w:cs="Calibri"/>
          <w:b/>
          <w:sz w:val="28"/>
          <w:szCs w:val="28"/>
          <w:lang w:val="en-AU"/>
        </w:rPr>
        <w:t>i</w:t>
      </w:r>
      <w:r w:rsidRPr="003804C7">
        <w:rPr>
          <w:rFonts w:ascii="Calibri" w:hAnsi="Calibri" w:cs="Calibri"/>
          <w:b/>
          <w:sz w:val="28"/>
          <w:szCs w:val="28"/>
          <w:lang w:val="en-AU"/>
        </w:rPr>
        <w:t xml:space="preserve">nterfaces with </w:t>
      </w:r>
      <w:r>
        <w:rPr>
          <w:rFonts w:ascii="Calibri" w:hAnsi="Calibri" w:cs="Calibri"/>
          <w:b/>
          <w:sz w:val="28"/>
          <w:szCs w:val="28"/>
          <w:lang w:val="en-AU"/>
        </w:rPr>
        <w:t>s</w:t>
      </w:r>
      <w:r w:rsidRPr="003804C7">
        <w:rPr>
          <w:rFonts w:ascii="Calibri" w:hAnsi="Calibri" w:cs="Calibri"/>
          <w:b/>
          <w:sz w:val="28"/>
          <w:szCs w:val="28"/>
          <w:lang w:val="en-AU"/>
        </w:rPr>
        <w:t xml:space="preserve">ynchrotron-based </w:t>
      </w:r>
      <w:r>
        <w:rPr>
          <w:rFonts w:ascii="Calibri" w:hAnsi="Calibri" w:cs="Calibri"/>
          <w:b/>
          <w:sz w:val="28"/>
          <w:szCs w:val="28"/>
          <w:lang w:val="en-AU"/>
        </w:rPr>
        <w:t>s</w:t>
      </w:r>
      <w:r w:rsidRPr="003804C7">
        <w:rPr>
          <w:rFonts w:ascii="Calibri" w:hAnsi="Calibri" w:cs="Calibri"/>
          <w:b/>
          <w:sz w:val="28"/>
          <w:szCs w:val="28"/>
          <w:lang w:val="en-AU"/>
        </w:rPr>
        <w:t xml:space="preserve">oft </w:t>
      </w:r>
      <w:r>
        <w:rPr>
          <w:rFonts w:ascii="Calibri" w:hAnsi="Calibri" w:cs="Calibri"/>
          <w:b/>
          <w:sz w:val="28"/>
          <w:szCs w:val="28"/>
          <w:lang w:val="en-AU"/>
        </w:rPr>
        <w:t>x</w:t>
      </w:r>
      <w:r w:rsidRPr="003804C7">
        <w:rPr>
          <w:rFonts w:ascii="Calibri" w:hAnsi="Calibri" w:cs="Calibri"/>
          <w:b/>
          <w:sz w:val="28"/>
          <w:szCs w:val="28"/>
          <w:lang w:val="en-AU"/>
        </w:rPr>
        <w:t xml:space="preserve">-ray </w:t>
      </w:r>
      <w:r>
        <w:rPr>
          <w:rFonts w:ascii="Calibri" w:hAnsi="Calibri" w:cs="Calibri"/>
          <w:b/>
          <w:sz w:val="28"/>
          <w:szCs w:val="28"/>
          <w:lang w:val="en-AU"/>
        </w:rPr>
        <w:t>s</w:t>
      </w:r>
      <w:r w:rsidRPr="003804C7">
        <w:rPr>
          <w:rFonts w:ascii="Calibri" w:hAnsi="Calibri" w:cs="Calibri"/>
          <w:b/>
          <w:sz w:val="28"/>
          <w:szCs w:val="28"/>
          <w:lang w:val="en-AU"/>
        </w:rPr>
        <w:t>pectroscopy</w:t>
      </w:r>
    </w:p>
    <w:p w14:paraId="57C45AC5" w14:textId="77777777" w:rsidR="00DF1C8E" w:rsidRDefault="00DF1C8E" w:rsidP="009A4CFF">
      <w:pPr>
        <w:ind w:left="284" w:right="282"/>
        <w:jc w:val="both"/>
        <w:rPr>
          <w:rFonts w:ascii="Calibri" w:hAnsi="Calibri" w:cs="Calibri"/>
          <w:sz w:val="20"/>
          <w:szCs w:val="20"/>
          <w:lang w:val="en-AU"/>
        </w:rPr>
      </w:pPr>
    </w:p>
    <w:p w14:paraId="22DB1634" w14:textId="2E792479" w:rsidR="00DF1C8E" w:rsidRDefault="003804C7" w:rsidP="009A4CFF">
      <w:pPr>
        <w:ind w:left="284" w:right="282"/>
        <w:jc w:val="center"/>
        <w:rPr>
          <w:rFonts w:ascii="Calibri" w:hAnsi="Calibri" w:cs="Calibri"/>
          <w:i/>
          <w:vertAlign w:val="superscript"/>
          <w:lang w:val="en-AU"/>
        </w:rPr>
      </w:pPr>
      <w:r>
        <w:rPr>
          <w:rFonts w:ascii="Calibri" w:hAnsi="Calibri" w:cs="Calibri"/>
          <w:i/>
          <w:lang w:val="en-AU"/>
        </w:rPr>
        <w:t xml:space="preserve">Dongchen </w:t>
      </w:r>
      <w:proofErr w:type="spellStart"/>
      <w:r>
        <w:rPr>
          <w:rFonts w:ascii="Calibri" w:hAnsi="Calibri" w:cs="Calibri"/>
          <w:i/>
          <w:lang w:val="en-AU"/>
        </w:rPr>
        <w:t>Qi</w:t>
      </w:r>
      <w:r>
        <w:rPr>
          <w:rFonts w:ascii="Calibri" w:hAnsi="Calibri" w:cs="Calibri"/>
          <w:i/>
          <w:vertAlign w:val="superscript"/>
          <w:lang w:val="en-AU"/>
        </w:rPr>
        <w:t>A</w:t>
      </w:r>
      <w:proofErr w:type="spellEnd"/>
    </w:p>
    <w:p w14:paraId="787903E1" w14:textId="77777777" w:rsidR="003804C7" w:rsidRPr="005F19FF" w:rsidRDefault="003804C7" w:rsidP="009A4CFF">
      <w:pPr>
        <w:ind w:left="284" w:right="282"/>
        <w:jc w:val="center"/>
        <w:rPr>
          <w:rFonts w:ascii="Calibri" w:hAnsi="Calibri" w:cs="Calibri"/>
          <w:i/>
          <w:lang w:val="en-AU"/>
        </w:rPr>
      </w:pPr>
    </w:p>
    <w:p w14:paraId="49EF8C2D" w14:textId="79C5AF2E" w:rsidR="00711813" w:rsidRPr="006B3866" w:rsidRDefault="005F19FF"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3804C7" w:rsidRPr="003804C7">
        <w:rPr>
          <w:rFonts w:ascii="Calibri" w:hAnsi="Calibri" w:cs="Calibri"/>
          <w:sz w:val="22"/>
          <w:szCs w:val="22"/>
          <w:lang w:val="en-AU"/>
        </w:rPr>
        <w:t>School</w:t>
      </w:r>
      <w:proofErr w:type="spellEnd"/>
      <w:r w:rsidR="003804C7" w:rsidRPr="003804C7">
        <w:rPr>
          <w:rFonts w:ascii="Calibri" w:hAnsi="Calibri" w:cs="Calibri"/>
          <w:sz w:val="22"/>
          <w:szCs w:val="22"/>
          <w:lang w:val="en-AU"/>
        </w:rPr>
        <w:t xml:space="preserve"> of Chemistry, Physics and Mechanical Engineering, Queensland University of Technology, Brisbane, Australia</w:t>
      </w:r>
      <w:r w:rsidR="00711813" w:rsidRPr="006B3866">
        <w:rPr>
          <w:rFonts w:ascii="Calibri" w:hAnsi="Calibri" w:cs="Calibri"/>
          <w:sz w:val="22"/>
          <w:szCs w:val="22"/>
          <w:lang w:val="en-AU"/>
        </w:rPr>
        <w:t xml:space="preserve"> </w:t>
      </w:r>
    </w:p>
    <w:p w14:paraId="05E17889" w14:textId="4769EBD1" w:rsidR="00711813" w:rsidRDefault="00711813" w:rsidP="009A4CFF">
      <w:pPr>
        <w:pStyle w:val="Default"/>
        <w:ind w:left="284" w:right="282"/>
        <w:jc w:val="both"/>
        <w:rPr>
          <w:i/>
          <w:color w:val="auto"/>
          <w:sz w:val="22"/>
          <w:szCs w:val="22"/>
        </w:rPr>
      </w:pPr>
    </w:p>
    <w:p w14:paraId="458886DE" w14:textId="77777777" w:rsidR="0055338A" w:rsidRDefault="0055338A" w:rsidP="009A4CFF">
      <w:pPr>
        <w:pStyle w:val="Default"/>
        <w:ind w:left="284" w:right="282"/>
        <w:jc w:val="both"/>
        <w:rPr>
          <w:i/>
          <w:color w:val="auto"/>
          <w:sz w:val="22"/>
          <w:szCs w:val="22"/>
        </w:rPr>
      </w:pPr>
    </w:p>
    <w:p w14:paraId="734471FB" w14:textId="74564F40" w:rsidR="00641190" w:rsidRDefault="0055338A" w:rsidP="0055338A">
      <w:pPr>
        <w:pStyle w:val="Default"/>
        <w:ind w:left="284" w:right="282"/>
        <w:jc w:val="both"/>
        <w:rPr>
          <w:color w:val="auto"/>
          <w:sz w:val="22"/>
          <w:szCs w:val="22"/>
          <w:lang w:val="en-AU"/>
        </w:rPr>
      </w:pPr>
      <w:r w:rsidRPr="0055338A">
        <w:rPr>
          <w:color w:val="auto"/>
          <w:sz w:val="22"/>
          <w:szCs w:val="22"/>
          <w:lang w:val="en-AU"/>
        </w:rPr>
        <w:t>Often, it may be said that the interface is the device. This quote from Nobel Laureate Herbert Kroemer gets to the heart of modern electronic devices. Indeed, interfacial phenomena are key to the functioning of most semiconductor-based electronic devices and reveal a multitude of fascinating discoveries. Quantitatively characterising interfacial phenomena is one of the greatest challenges of surface and materials science, since buried interfaces can be hardly accessible by many conventional experimental techniques. In this talk, I will discuss a few recent developments in synchrotron-based soft X-ray spectroscopy that have proven capable of providing unique types of information on the electronic/magnetic structures, chemical states, energy level alignments, molecular orientations, sub-fs ultrafast charge transfer dynamics at various kinds of interfaces involving both organic and inorganic materials. In the first part of the talk, I will discuss our recent advances of surface transfer doping of semiconductors, using diamond as an example, to introduce this non-destructive and versatile doping technique applicable to various kinds of emerging electronic materials</w:t>
      </w:r>
      <w:r>
        <w:rPr>
          <w:color w:val="auto"/>
          <w:sz w:val="22"/>
          <w:szCs w:val="22"/>
          <w:lang w:val="en-AU"/>
        </w:rPr>
        <w:t xml:space="preserve"> (Chen </w:t>
      </w:r>
      <w:r w:rsidRPr="0055338A">
        <w:rPr>
          <w:i/>
          <w:iCs/>
          <w:color w:val="auto"/>
          <w:sz w:val="22"/>
          <w:szCs w:val="22"/>
          <w:lang w:val="en-AU"/>
        </w:rPr>
        <w:t>et al.</w:t>
      </w:r>
      <w:r>
        <w:rPr>
          <w:color w:val="auto"/>
          <w:sz w:val="22"/>
          <w:szCs w:val="22"/>
          <w:lang w:val="en-AU"/>
        </w:rPr>
        <w:t xml:space="preserve"> 2009; Crawford </w:t>
      </w:r>
      <w:r w:rsidRPr="0055338A">
        <w:rPr>
          <w:i/>
          <w:iCs/>
          <w:color w:val="auto"/>
          <w:sz w:val="22"/>
          <w:szCs w:val="22"/>
          <w:lang w:val="en-AU"/>
        </w:rPr>
        <w:t>et al.</w:t>
      </w:r>
      <w:r>
        <w:rPr>
          <w:color w:val="auto"/>
          <w:sz w:val="22"/>
          <w:szCs w:val="22"/>
          <w:lang w:val="en-AU"/>
        </w:rPr>
        <w:t xml:space="preserve"> 2016; Crawford </w:t>
      </w:r>
      <w:r w:rsidRPr="0055338A">
        <w:rPr>
          <w:i/>
          <w:iCs/>
          <w:color w:val="auto"/>
          <w:sz w:val="22"/>
          <w:szCs w:val="22"/>
          <w:lang w:val="en-AU"/>
        </w:rPr>
        <w:t>et al.</w:t>
      </w:r>
      <w:r>
        <w:rPr>
          <w:color w:val="auto"/>
          <w:sz w:val="22"/>
          <w:szCs w:val="22"/>
          <w:lang w:val="en-AU"/>
        </w:rPr>
        <w:t xml:space="preserve"> 2018)</w:t>
      </w:r>
      <w:r w:rsidRPr="0055338A">
        <w:rPr>
          <w:color w:val="auto"/>
          <w:sz w:val="22"/>
          <w:szCs w:val="22"/>
          <w:lang w:val="en-AU"/>
        </w:rPr>
        <w:t>. In the second part of the talk, I will discuss the application of angular-dependent near-edge X-ray absorption fine structure (NEXAFS) spectroscopy to investigate the molecular orientation and its implications to device performances at organic-inorganic and organic-organic heterojunction interfaces</w:t>
      </w:r>
      <w:r>
        <w:rPr>
          <w:color w:val="auto"/>
          <w:sz w:val="22"/>
          <w:szCs w:val="22"/>
          <w:lang w:val="en-AU"/>
        </w:rPr>
        <w:t xml:space="preserve"> (Chen </w:t>
      </w:r>
      <w:r w:rsidRPr="0055338A">
        <w:rPr>
          <w:i/>
          <w:iCs/>
          <w:color w:val="auto"/>
          <w:sz w:val="22"/>
          <w:szCs w:val="22"/>
          <w:lang w:val="en-AU"/>
        </w:rPr>
        <w:t>et al.</w:t>
      </w:r>
      <w:r>
        <w:rPr>
          <w:color w:val="auto"/>
          <w:sz w:val="22"/>
          <w:szCs w:val="22"/>
          <w:lang w:val="en-AU"/>
        </w:rPr>
        <w:t xml:space="preserve"> </w:t>
      </w:r>
      <w:r>
        <w:rPr>
          <w:color w:val="auto"/>
          <w:sz w:val="22"/>
          <w:szCs w:val="22"/>
          <w:lang w:val="en-AU"/>
        </w:rPr>
        <w:t xml:space="preserve">2011; </w:t>
      </w:r>
      <w:proofErr w:type="spellStart"/>
      <w:r>
        <w:rPr>
          <w:color w:val="auto"/>
          <w:sz w:val="22"/>
          <w:szCs w:val="22"/>
          <w:lang w:val="en-AU"/>
        </w:rPr>
        <w:t>Nerngchamnong</w:t>
      </w:r>
      <w:proofErr w:type="spellEnd"/>
      <w:r>
        <w:rPr>
          <w:color w:val="auto"/>
          <w:sz w:val="22"/>
          <w:szCs w:val="22"/>
          <w:lang w:val="en-AU"/>
        </w:rPr>
        <w:t xml:space="preserve"> </w:t>
      </w:r>
      <w:r w:rsidRPr="0055338A">
        <w:rPr>
          <w:i/>
          <w:iCs/>
          <w:color w:val="auto"/>
          <w:sz w:val="22"/>
          <w:szCs w:val="22"/>
          <w:lang w:val="en-AU"/>
        </w:rPr>
        <w:t>et al.</w:t>
      </w:r>
      <w:r>
        <w:rPr>
          <w:color w:val="auto"/>
          <w:sz w:val="22"/>
          <w:szCs w:val="22"/>
          <w:lang w:val="en-AU"/>
        </w:rPr>
        <w:t xml:space="preserve"> </w:t>
      </w:r>
      <w:r>
        <w:rPr>
          <w:color w:val="auto"/>
          <w:sz w:val="22"/>
          <w:szCs w:val="22"/>
          <w:lang w:val="en-AU"/>
        </w:rPr>
        <w:t>2013)</w:t>
      </w:r>
      <w:r w:rsidRPr="0055338A">
        <w:rPr>
          <w:color w:val="auto"/>
          <w:sz w:val="22"/>
          <w:szCs w:val="22"/>
          <w:lang w:val="en-AU"/>
        </w:rPr>
        <w:t>. Lastly, I will describe how we can quantify the ultrafast charge transfer dynamics across interfaces using core-hole clock (CHC) spectroscopy with unprecedented temporal resolution of sub-fs</w:t>
      </w:r>
      <w:r>
        <w:rPr>
          <w:color w:val="auto"/>
          <w:sz w:val="22"/>
          <w:szCs w:val="22"/>
          <w:lang w:val="en-AU"/>
        </w:rPr>
        <w:t xml:space="preserve"> (Cao </w:t>
      </w:r>
      <w:r w:rsidRPr="0055338A">
        <w:rPr>
          <w:i/>
          <w:iCs/>
          <w:color w:val="auto"/>
          <w:sz w:val="22"/>
          <w:szCs w:val="22"/>
          <w:lang w:val="en-AU"/>
        </w:rPr>
        <w:t>et al.</w:t>
      </w:r>
      <w:r>
        <w:rPr>
          <w:color w:val="auto"/>
          <w:sz w:val="22"/>
          <w:szCs w:val="22"/>
          <w:lang w:val="en-AU"/>
        </w:rPr>
        <w:t xml:space="preserve"> </w:t>
      </w:r>
      <w:r>
        <w:rPr>
          <w:color w:val="auto"/>
          <w:sz w:val="22"/>
          <w:szCs w:val="22"/>
          <w:lang w:val="en-AU"/>
        </w:rPr>
        <w:t xml:space="preserve">2014; Cao </w:t>
      </w:r>
      <w:r w:rsidRPr="0055338A">
        <w:rPr>
          <w:i/>
          <w:iCs/>
          <w:color w:val="auto"/>
          <w:sz w:val="22"/>
          <w:szCs w:val="22"/>
          <w:lang w:val="en-AU"/>
        </w:rPr>
        <w:t>et al.</w:t>
      </w:r>
      <w:r>
        <w:rPr>
          <w:color w:val="auto"/>
          <w:sz w:val="22"/>
          <w:szCs w:val="22"/>
          <w:lang w:val="en-AU"/>
        </w:rPr>
        <w:t xml:space="preserve"> </w:t>
      </w:r>
      <w:r>
        <w:rPr>
          <w:color w:val="auto"/>
          <w:sz w:val="22"/>
          <w:szCs w:val="22"/>
          <w:lang w:val="en-AU"/>
        </w:rPr>
        <w:t>2016)</w:t>
      </w:r>
      <w:r w:rsidRPr="0055338A">
        <w:rPr>
          <w:color w:val="auto"/>
          <w:sz w:val="22"/>
          <w:szCs w:val="22"/>
          <w:lang w:val="en-AU"/>
        </w:rPr>
        <w:t>. The CHC technique allows us to quantify the interfacial charge transfer times with element and site/orbital specificity.</w:t>
      </w:r>
    </w:p>
    <w:p w14:paraId="34D0D6A8" w14:textId="2EA7F67B" w:rsidR="0055338A" w:rsidRDefault="0055338A" w:rsidP="0055338A">
      <w:pPr>
        <w:pStyle w:val="Default"/>
        <w:ind w:left="284" w:right="282"/>
        <w:jc w:val="both"/>
        <w:rPr>
          <w:color w:val="auto"/>
          <w:sz w:val="22"/>
          <w:szCs w:val="22"/>
          <w:lang w:val="en-AU"/>
        </w:rPr>
      </w:pPr>
    </w:p>
    <w:p w14:paraId="7CA7AB77" w14:textId="77777777" w:rsidR="0055338A" w:rsidRPr="0055338A" w:rsidRDefault="0055338A" w:rsidP="0055338A">
      <w:pPr>
        <w:pStyle w:val="Default"/>
        <w:ind w:left="284" w:right="282"/>
        <w:jc w:val="both"/>
        <w:rPr>
          <w:color w:val="auto"/>
          <w:sz w:val="22"/>
          <w:szCs w:val="22"/>
          <w:lang w:val="en-AU"/>
        </w:rPr>
      </w:pPr>
    </w:p>
    <w:p w14:paraId="766DA9A5" w14:textId="21AAD99A" w:rsidR="004E5450" w:rsidRDefault="004E5450" w:rsidP="009A4CFF">
      <w:pPr>
        <w:ind w:left="284" w:right="282"/>
        <w:jc w:val="both"/>
        <w:rPr>
          <w:rFonts w:ascii="Calibri" w:hAnsi="Calibri" w:cs="Calibri"/>
          <w:sz w:val="22"/>
          <w:szCs w:val="22"/>
          <w:lang w:val="en-AU"/>
        </w:rPr>
      </w:pPr>
    </w:p>
    <w:p w14:paraId="326AB273" w14:textId="77777777" w:rsidR="0055338A" w:rsidRDefault="0055338A"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28152071" w14:textId="77777777" w:rsidR="0055338A" w:rsidRPr="0055338A" w:rsidRDefault="0055338A" w:rsidP="0055338A">
      <w:pPr>
        <w:ind w:left="284" w:right="282"/>
        <w:jc w:val="both"/>
        <w:rPr>
          <w:rFonts w:asciiTheme="minorHAnsi" w:hAnsiTheme="minorHAnsi" w:cstheme="minorHAnsi"/>
          <w:sz w:val="22"/>
          <w:szCs w:val="22"/>
        </w:rPr>
      </w:pPr>
      <w:r w:rsidRPr="0055338A">
        <w:rPr>
          <w:rFonts w:asciiTheme="minorHAnsi" w:hAnsiTheme="minorHAnsi" w:cstheme="minorHAnsi"/>
          <w:sz w:val="22"/>
          <w:szCs w:val="22"/>
        </w:rPr>
        <w:t>1. W. CHEN, D.-C. Qi, X. GAO et al., Prog. Surf. Sci. 84, 279 (2009); K. G</w:t>
      </w:r>
      <w:bookmarkStart w:id="0" w:name="_GoBack"/>
      <w:bookmarkEnd w:id="0"/>
      <w:r w:rsidRPr="0055338A">
        <w:rPr>
          <w:rFonts w:asciiTheme="minorHAnsi" w:hAnsiTheme="minorHAnsi" w:cstheme="minorHAnsi"/>
          <w:sz w:val="22"/>
          <w:szCs w:val="22"/>
        </w:rPr>
        <w:t>. Crawford, L. Cao, D.-C. Qi et al., Appl. Phys. Lett. 108, 042103 (2016); K. G. Crawford et al., Sci. Rep. 8, 3342 (2018).</w:t>
      </w:r>
    </w:p>
    <w:p w14:paraId="4D8A533C" w14:textId="77777777" w:rsidR="0055338A" w:rsidRPr="0055338A" w:rsidRDefault="0055338A" w:rsidP="0055338A">
      <w:pPr>
        <w:ind w:left="284" w:right="282"/>
        <w:jc w:val="both"/>
        <w:rPr>
          <w:rFonts w:asciiTheme="minorHAnsi" w:hAnsiTheme="minorHAnsi" w:cstheme="minorHAnsi"/>
          <w:sz w:val="22"/>
          <w:szCs w:val="22"/>
        </w:rPr>
      </w:pPr>
      <w:r w:rsidRPr="0055338A">
        <w:rPr>
          <w:rFonts w:asciiTheme="minorHAnsi" w:hAnsiTheme="minorHAnsi" w:cstheme="minorHAnsi"/>
          <w:sz w:val="22"/>
          <w:szCs w:val="22"/>
        </w:rPr>
        <w:t xml:space="preserve">2. W. Chen, D.-C. Qi, H. Huang et al., Adv. </w:t>
      </w:r>
      <w:proofErr w:type="spellStart"/>
      <w:r w:rsidRPr="0055338A">
        <w:rPr>
          <w:rFonts w:asciiTheme="minorHAnsi" w:hAnsiTheme="minorHAnsi" w:cstheme="minorHAnsi"/>
          <w:sz w:val="22"/>
          <w:szCs w:val="22"/>
        </w:rPr>
        <w:t>Funct</w:t>
      </w:r>
      <w:proofErr w:type="spellEnd"/>
      <w:r w:rsidRPr="0055338A">
        <w:rPr>
          <w:rFonts w:asciiTheme="minorHAnsi" w:hAnsiTheme="minorHAnsi" w:cstheme="minorHAnsi"/>
          <w:sz w:val="22"/>
          <w:szCs w:val="22"/>
        </w:rPr>
        <w:t xml:space="preserve">. Mater. 21, 410 (2011); N. </w:t>
      </w:r>
      <w:proofErr w:type="spellStart"/>
      <w:r w:rsidRPr="0055338A">
        <w:rPr>
          <w:rFonts w:asciiTheme="minorHAnsi" w:hAnsiTheme="minorHAnsi" w:cstheme="minorHAnsi"/>
          <w:sz w:val="22"/>
          <w:szCs w:val="22"/>
        </w:rPr>
        <w:t>Nerngchamnong</w:t>
      </w:r>
      <w:proofErr w:type="spellEnd"/>
      <w:r w:rsidRPr="0055338A">
        <w:rPr>
          <w:rFonts w:asciiTheme="minorHAnsi" w:hAnsiTheme="minorHAnsi" w:cstheme="minorHAnsi"/>
          <w:sz w:val="22"/>
          <w:szCs w:val="22"/>
        </w:rPr>
        <w:t>, L. Yuan, D.-C. Qi et al., Nat. Nanotech. 8, 113 (2013).</w:t>
      </w:r>
    </w:p>
    <w:p w14:paraId="19A0A76F" w14:textId="424CC6E2" w:rsidR="00F97620" w:rsidRDefault="0055338A" w:rsidP="0055338A">
      <w:pPr>
        <w:ind w:left="284" w:right="282"/>
        <w:jc w:val="both"/>
        <w:rPr>
          <w:rFonts w:asciiTheme="minorHAnsi" w:hAnsiTheme="minorHAnsi" w:cstheme="minorHAnsi"/>
          <w:sz w:val="22"/>
          <w:szCs w:val="22"/>
        </w:rPr>
      </w:pPr>
      <w:r w:rsidRPr="0055338A">
        <w:rPr>
          <w:rFonts w:asciiTheme="minorHAnsi" w:hAnsiTheme="minorHAnsi" w:cstheme="minorHAnsi"/>
          <w:sz w:val="22"/>
          <w:szCs w:val="22"/>
        </w:rPr>
        <w:t xml:space="preserve">3. L. Cao, X.-Y. Gao, A. T. S. Wee et al., Adv. Mater. 26, 7880 (2014); L. Cao, M. Yang, Y. Li et al., J. Phys.: </w:t>
      </w:r>
      <w:proofErr w:type="spellStart"/>
      <w:r w:rsidRPr="0055338A">
        <w:rPr>
          <w:rFonts w:asciiTheme="minorHAnsi" w:hAnsiTheme="minorHAnsi" w:cstheme="minorHAnsi"/>
          <w:sz w:val="22"/>
          <w:szCs w:val="22"/>
        </w:rPr>
        <w:t>Condens</w:t>
      </w:r>
      <w:proofErr w:type="spellEnd"/>
      <w:r w:rsidRPr="0055338A">
        <w:rPr>
          <w:rFonts w:asciiTheme="minorHAnsi" w:hAnsiTheme="minorHAnsi" w:cstheme="minorHAnsi"/>
          <w:sz w:val="22"/>
          <w:szCs w:val="22"/>
        </w:rPr>
        <w:t>. Matter 28, 094006 (2016).</w:t>
      </w:r>
    </w:p>
    <w:p w14:paraId="1676B587" w14:textId="631EC552" w:rsidR="0055338A" w:rsidRDefault="0055338A" w:rsidP="0055338A">
      <w:pPr>
        <w:ind w:left="284" w:right="282"/>
        <w:jc w:val="both"/>
        <w:rPr>
          <w:rFonts w:asciiTheme="minorHAnsi" w:hAnsiTheme="minorHAnsi" w:cstheme="minorHAnsi"/>
          <w:sz w:val="22"/>
          <w:szCs w:val="22"/>
        </w:rPr>
      </w:pPr>
    </w:p>
    <w:p w14:paraId="2E84CD5B" w14:textId="37C6EB7C" w:rsidR="0055338A" w:rsidRDefault="0055338A" w:rsidP="0055338A">
      <w:pPr>
        <w:ind w:left="284" w:right="282"/>
        <w:jc w:val="both"/>
        <w:rPr>
          <w:rFonts w:asciiTheme="minorHAnsi" w:hAnsiTheme="minorHAnsi" w:cstheme="minorHAnsi"/>
          <w:sz w:val="22"/>
          <w:szCs w:val="22"/>
        </w:rPr>
      </w:pPr>
    </w:p>
    <w:p w14:paraId="6544BC33" w14:textId="18F4EDA9" w:rsidR="0055338A" w:rsidRDefault="0055338A" w:rsidP="0055338A">
      <w:pPr>
        <w:ind w:left="284" w:right="282"/>
        <w:jc w:val="both"/>
        <w:rPr>
          <w:rFonts w:asciiTheme="minorHAnsi" w:hAnsiTheme="minorHAnsi" w:cstheme="minorHAnsi"/>
          <w:sz w:val="22"/>
          <w:szCs w:val="22"/>
        </w:rPr>
      </w:pPr>
    </w:p>
    <w:p w14:paraId="074E2CE9" w14:textId="5D1DA92E" w:rsidR="0055338A" w:rsidRDefault="0055338A" w:rsidP="0055338A">
      <w:pPr>
        <w:ind w:left="284" w:right="282"/>
        <w:jc w:val="both"/>
        <w:rPr>
          <w:rFonts w:asciiTheme="minorHAnsi" w:hAnsiTheme="minorHAnsi" w:cstheme="minorHAnsi"/>
          <w:sz w:val="22"/>
          <w:szCs w:val="22"/>
        </w:rPr>
      </w:pPr>
    </w:p>
    <w:p w14:paraId="55F02EF0" w14:textId="7A45963C" w:rsidR="0055338A" w:rsidRDefault="0055338A" w:rsidP="0055338A">
      <w:pPr>
        <w:ind w:left="284" w:right="282"/>
        <w:jc w:val="both"/>
        <w:rPr>
          <w:rFonts w:asciiTheme="minorHAnsi" w:hAnsiTheme="minorHAnsi" w:cstheme="minorHAnsi"/>
          <w:sz w:val="22"/>
          <w:szCs w:val="22"/>
        </w:rPr>
      </w:pPr>
    </w:p>
    <w:p w14:paraId="5AA16EF6" w14:textId="7E2AB43F" w:rsidR="0055338A" w:rsidRDefault="0055338A" w:rsidP="0055338A">
      <w:pPr>
        <w:ind w:left="284" w:right="282"/>
        <w:jc w:val="both"/>
        <w:rPr>
          <w:rFonts w:asciiTheme="minorHAnsi" w:hAnsiTheme="minorHAnsi" w:cstheme="minorHAnsi"/>
          <w:sz w:val="22"/>
          <w:szCs w:val="22"/>
        </w:rPr>
      </w:pPr>
    </w:p>
    <w:p w14:paraId="4751CFC5" w14:textId="289C8E36" w:rsidR="0055338A" w:rsidRDefault="0055338A" w:rsidP="0055338A">
      <w:pPr>
        <w:ind w:left="284" w:right="282"/>
        <w:jc w:val="both"/>
        <w:rPr>
          <w:rFonts w:asciiTheme="minorHAnsi" w:hAnsiTheme="minorHAnsi" w:cstheme="minorHAnsi"/>
          <w:sz w:val="22"/>
          <w:szCs w:val="22"/>
        </w:rPr>
      </w:pPr>
    </w:p>
    <w:p w14:paraId="190878B3" w14:textId="750B1EA6" w:rsidR="0055338A" w:rsidRDefault="0055338A" w:rsidP="0055338A">
      <w:pPr>
        <w:ind w:left="284" w:right="282"/>
        <w:jc w:val="both"/>
        <w:rPr>
          <w:rFonts w:asciiTheme="minorHAnsi" w:hAnsiTheme="minorHAnsi" w:cstheme="minorHAnsi"/>
          <w:sz w:val="22"/>
          <w:szCs w:val="22"/>
        </w:rPr>
      </w:pPr>
    </w:p>
    <w:p w14:paraId="46A3CC47" w14:textId="14E090F1" w:rsidR="0055338A" w:rsidRDefault="0055338A" w:rsidP="0055338A">
      <w:pPr>
        <w:ind w:left="284" w:right="282"/>
        <w:jc w:val="both"/>
        <w:rPr>
          <w:rFonts w:asciiTheme="minorHAnsi" w:hAnsiTheme="minorHAnsi" w:cstheme="minorHAnsi"/>
          <w:sz w:val="22"/>
          <w:szCs w:val="22"/>
        </w:rPr>
      </w:pPr>
    </w:p>
    <w:p w14:paraId="06253C87" w14:textId="5D8FCBC0" w:rsidR="0055338A" w:rsidRDefault="0055338A" w:rsidP="0055338A">
      <w:pPr>
        <w:ind w:left="284" w:right="282"/>
        <w:jc w:val="both"/>
        <w:rPr>
          <w:rFonts w:asciiTheme="minorHAnsi" w:hAnsiTheme="minorHAnsi" w:cstheme="minorHAnsi"/>
          <w:sz w:val="22"/>
          <w:szCs w:val="22"/>
        </w:rPr>
      </w:pPr>
    </w:p>
    <w:p w14:paraId="7088743E" w14:textId="3DE05327" w:rsidR="0055338A" w:rsidRDefault="0055338A" w:rsidP="0055338A">
      <w:pPr>
        <w:ind w:left="284" w:right="282"/>
        <w:jc w:val="both"/>
        <w:rPr>
          <w:rFonts w:asciiTheme="minorHAnsi" w:hAnsiTheme="minorHAnsi" w:cstheme="minorHAnsi"/>
          <w:sz w:val="22"/>
          <w:szCs w:val="22"/>
        </w:rPr>
      </w:pPr>
    </w:p>
    <w:p w14:paraId="61E2D6E8" w14:textId="565B7705" w:rsidR="0055338A" w:rsidRDefault="0055338A" w:rsidP="0055338A">
      <w:pPr>
        <w:ind w:left="284" w:right="282"/>
        <w:jc w:val="both"/>
        <w:rPr>
          <w:rFonts w:asciiTheme="minorHAnsi" w:hAnsiTheme="minorHAnsi" w:cstheme="minorHAnsi"/>
          <w:sz w:val="22"/>
          <w:szCs w:val="22"/>
        </w:rPr>
      </w:pPr>
    </w:p>
    <w:p w14:paraId="0DF1D482" w14:textId="117242F7" w:rsidR="0055338A" w:rsidRDefault="0055338A" w:rsidP="0055338A">
      <w:pPr>
        <w:ind w:left="284" w:right="282"/>
        <w:jc w:val="both"/>
        <w:rPr>
          <w:rFonts w:asciiTheme="minorHAnsi" w:hAnsiTheme="minorHAnsi" w:cstheme="minorHAnsi"/>
          <w:sz w:val="22"/>
          <w:szCs w:val="22"/>
        </w:rPr>
      </w:pPr>
    </w:p>
    <w:p w14:paraId="6B10D51D" w14:textId="0F2EFAF1" w:rsidR="0055338A" w:rsidRPr="0055338A" w:rsidRDefault="0055338A" w:rsidP="0055338A">
      <w:pPr>
        <w:ind w:left="284" w:right="282"/>
        <w:jc w:val="both"/>
        <w:rPr>
          <w:rFonts w:asciiTheme="minorHAnsi" w:hAnsiTheme="minorHAnsi" w:cstheme="minorHAnsi"/>
          <w:sz w:val="22"/>
          <w:szCs w:val="22"/>
        </w:rPr>
      </w:pPr>
      <w:r>
        <w:rPr>
          <w:rFonts w:asciiTheme="minorHAnsi" w:hAnsiTheme="minorHAnsi" w:cstheme="minorHAnsi"/>
          <w:sz w:val="22"/>
          <w:szCs w:val="22"/>
        </w:rPr>
        <w:t>Email: dongchen.qi@qut.edu.au</w:t>
      </w:r>
    </w:p>
    <w:sectPr w:rsidR="0055338A" w:rsidRPr="0055338A"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QwtTA0MzYwNDE3MjRT0lEKTi0uzszPAykwrAUAD4pnniwAAAA="/>
  </w:docVars>
  <w:rsids>
    <w:rsidRoot w:val="002226BB"/>
    <w:rsid w:val="0004118E"/>
    <w:rsid w:val="00045573"/>
    <w:rsid w:val="000A6D19"/>
    <w:rsid w:val="001A21AD"/>
    <w:rsid w:val="002078AD"/>
    <w:rsid w:val="002226BB"/>
    <w:rsid w:val="00225236"/>
    <w:rsid w:val="002272B0"/>
    <w:rsid w:val="00300B92"/>
    <w:rsid w:val="0030585E"/>
    <w:rsid w:val="003804C7"/>
    <w:rsid w:val="00387491"/>
    <w:rsid w:val="00396CA6"/>
    <w:rsid w:val="00447188"/>
    <w:rsid w:val="00483B05"/>
    <w:rsid w:val="004E28B9"/>
    <w:rsid w:val="004E5450"/>
    <w:rsid w:val="005226A8"/>
    <w:rsid w:val="0055229D"/>
    <w:rsid w:val="0055338A"/>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2692</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Dongchen Qi</cp:lastModifiedBy>
  <cp:revision>15</cp:revision>
  <cp:lastPrinted>2013-06-13T05:15:00Z</cp:lastPrinted>
  <dcterms:created xsi:type="dcterms:W3CDTF">2019-05-29T23:58:00Z</dcterms:created>
  <dcterms:modified xsi:type="dcterms:W3CDTF">2019-09-02T00:53:00Z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