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CCA93" w14:textId="0FD93832" w:rsidR="00711813" w:rsidRPr="00DF1C8E" w:rsidRDefault="00EE0E73" w:rsidP="009A4CFF">
      <w:pPr>
        <w:ind w:left="284" w:right="282"/>
        <w:jc w:val="center"/>
        <w:rPr>
          <w:rFonts w:ascii="Calibri" w:hAnsi="Calibri" w:cs="Calibri"/>
          <w:b/>
          <w:sz w:val="28"/>
          <w:szCs w:val="28"/>
          <w:lang w:val="en-AU"/>
        </w:rPr>
      </w:pPr>
      <w:r>
        <w:rPr>
          <w:rFonts w:ascii="Calibri" w:hAnsi="Calibri" w:cs="Calibri"/>
          <w:b/>
          <w:sz w:val="28"/>
          <w:szCs w:val="28"/>
          <w:lang w:val="en-AU"/>
        </w:rPr>
        <w:t>A</w:t>
      </w:r>
      <w:r>
        <w:rPr>
          <w:rFonts w:asciiTheme="minorEastAsia" w:eastAsiaTheme="minorEastAsia" w:hAnsiTheme="minorEastAsia" w:cs="Calibri" w:hint="eastAsia"/>
          <w:b/>
          <w:sz w:val="28"/>
          <w:szCs w:val="28"/>
          <w:lang w:val="en-AU" w:eastAsia="zh-CN"/>
        </w:rPr>
        <w:t>pp</w:t>
      </w:r>
      <w:r>
        <w:rPr>
          <w:rFonts w:ascii="Calibri" w:eastAsia="Times New Roman" w:hAnsi="Calibri" w:cs="Calibri"/>
          <w:b/>
          <w:sz w:val="28"/>
          <w:szCs w:val="28"/>
          <w:lang w:val="en-AU"/>
        </w:rPr>
        <w:t>roaches and perspectives of nano</w:t>
      </w:r>
      <w:r w:rsidR="00002504">
        <w:rPr>
          <w:rFonts w:ascii="Calibri" w:eastAsia="Times New Roman" w:hAnsi="Calibri" w:cs="Calibri"/>
          <w:b/>
          <w:sz w:val="28"/>
          <w:szCs w:val="28"/>
          <w:lang w:val="en-AU"/>
        </w:rPr>
        <w:t>clays</w:t>
      </w:r>
      <w:r>
        <w:rPr>
          <w:rFonts w:ascii="Calibri" w:eastAsia="Times New Roman" w:hAnsi="Calibri" w:cs="Calibri"/>
          <w:b/>
          <w:sz w:val="28"/>
          <w:szCs w:val="28"/>
          <w:lang w:val="en-AU"/>
        </w:rPr>
        <w:t xml:space="preserve"> in agriculture advancement</w:t>
      </w:r>
    </w:p>
    <w:p w14:paraId="57C45AC5" w14:textId="77777777" w:rsidR="00DF1C8E" w:rsidRDefault="00DF1C8E" w:rsidP="009A4CFF">
      <w:pPr>
        <w:ind w:left="284" w:right="282"/>
        <w:jc w:val="both"/>
        <w:rPr>
          <w:rFonts w:ascii="Calibri" w:hAnsi="Calibri" w:cs="Calibri"/>
          <w:sz w:val="20"/>
          <w:szCs w:val="20"/>
          <w:lang w:val="en-AU"/>
        </w:rPr>
      </w:pPr>
    </w:p>
    <w:p w14:paraId="22DB1634" w14:textId="4959BFF2" w:rsidR="00DF1C8E" w:rsidRPr="005F19FF" w:rsidRDefault="00EE0E73" w:rsidP="009A4CFF">
      <w:pPr>
        <w:ind w:left="284" w:right="282"/>
        <w:jc w:val="center"/>
        <w:rPr>
          <w:rFonts w:ascii="Calibri" w:hAnsi="Calibri" w:cs="Calibri"/>
          <w:i/>
          <w:lang w:val="en-AU"/>
        </w:rPr>
      </w:pPr>
      <w:r>
        <w:rPr>
          <w:rFonts w:ascii="Calibri" w:hAnsi="Calibri" w:cs="Calibri"/>
          <w:i/>
          <w:lang w:val="en-AU"/>
        </w:rPr>
        <w:t xml:space="preserve">Peng </w:t>
      </w:r>
      <w:proofErr w:type="spellStart"/>
      <w:r>
        <w:rPr>
          <w:rFonts w:ascii="Calibri" w:hAnsi="Calibri" w:cs="Calibri"/>
          <w:i/>
          <w:lang w:val="en-AU"/>
        </w:rPr>
        <w:t>Li</w:t>
      </w:r>
      <w:r w:rsidR="005F19FF" w:rsidRPr="005F19FF">
        <w:rPr>
          <w:rFonts w:ascii="Calibri" w:hAnsi="Calibri" w:cs="Calibri"/>
          <w:i/>
          <w:vertAlign w:val="superscript"/>
          <w:lang w:val="en-AU"/>
        </w:rPr>
        <w:t>A</w:t>
      </w:r>
      <w:proofErr w:type="spellEnd"/>
      <w:r w:rsidR="00711813" w:rsidRPr="005F19FF">
        <w:rPr>
          <w:rFonts w:ascii="Calibri" w:hAnsi="Calibri" w:cs="Calibri"/>
          <w:i/>
          <w:lang w:val="en-AU"/>
        </w:rPr>
        <w:t xml:space="preserve">, </w:t>
      </w:r>
      <w:r>
        <w:rPr>
          <w:rFonts w:ascii="Calibri" w:hAnsi="Calibri" w:cs="Calibri"/>
          <w:i/>
          <w:lang w:val="en-AU"/>
        </w:rPr>
        <w:t xml:space="preserve">Zhi Ping </w:t>
      </w:r>
      <w:proofErr w:type="spellStart"/>
      <w:r>
        <w:rPr>
          <w:rFonts w:ascii="Calibri" w:hAnsi="Calibri" w:cs="Calibri"/>
          <w:i/>
          <w:lang w:val="en-AU"/>
        </w:rPr>
        <w:t>Xu</w:t>
      </w:r>
      <w:r w:rsidR="005F19FF" w:rsidRPr="005F19FF">
        <w:rPr>
          <w:rFonts w:ascii="Calibri" w:hAnsi="Calibri" w:cs="Calibri"/>
          <w:i/>
          <w:vertAlign w:val="superscript"/>
          <w:lang w:val="en-AU"/>
        </w:rPr>
        <w:t>A</w:t>
      </w:r>
      <w:proofErr w:type="spellEnd"/>
      <w:r w:rsidR="00B77462">
        <w:rPr>
          <w:rFonts w:ascii="Calibri" w:hAnsi="Calibri" w:cs="Calibri"/>
          <w:i/>
          <w:vertAlign w:val="superscript"/>
          <w:lang w:val="en-AU"/>
        </w:rPr>
        <w:t>,*</w:t>
      </w:r>
      <w:r>
        <w:rPr>
          <w:rFonts w:ascii="Calibri" w:hAnsi="Calibri" w:cs="Calibri"/>
          <w:i/>
          <w:lang w:val="en-AU"/>
        </w:rPr>
        <w:t xml:space="preserve">, Neena </w:t>
      </w:r>
      <w:proofErr w:type="spellStart"/>
      <w:r>
        <w:rPr>
          <w:rFonts w:ascii="Calibri" w:hAnsi="Calibri" w:cs="Calibri"/>
          <w:i/>
          <w:lang w:val="en-AU"/>
        </w:rPr>
        <w:t>Mitter</w:t>
      </w:r>
      <w:r w:rsidR="005F19FF" w:rsidRPr="005F19FF">
        <w:rPr>
          <w:rFonts w:ascii="Calibri" w:hAnsi="Calibri" w:cs="Calibri"/>
          <w:i/>
          <w:vertAlign w:val="superscript"/>
          <w:lang w:val="en-AU"/>
        </w:rPr>
        <w:t>B</w:t>
      </w:r>
      <w:proofErr w:type="spellEnd"/>
      <w:r w:rsidR="00884015">
        <w:rPr>
          <w:rFonts w:ascii="Calibri" w:hAnsi="Calibri" w:cs="Calibri"/>
          <w:i/>
          <w:vertAlign w:val="superscript"/>
          <w:lang w:val="en-AU"/>
        </w:rPr>
        <w:t>,*</w:t>
      </w:r>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49EF8C2D" w14:textId="36C3889E" w:rsidR="00711813" w:rsidRPr="006B3866" w:rsidRDefault="005F19FF" w:rsidP="009A4CFF">
      <w:pPr>
        <w:ind w:left="284" w:right="282"/>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EE0E73">
        <w:rPr>
          <w:rFonts w:ascii="Calibri" w:hAnsi="Calibri" w:cs="Calibri"/>
          <w:sz w:val="22"/>
          <w:szCs w:val="22"/>
          <w:lang w:val="en-AU"/>
        </w:rPr>
        <w:t>Australian</w:t>
      </w:r>
      <w:proofErr w:type="spellEnd"/>
      <w:r w:rsidR="00EE0E73">
        <w:rPr>
          <w:rFonts w:ascii="Calibri" w:hAnsi="Calibri" w:cs="Calibri"/>
          <w:sz w:val="22"/>
          <w:szCs w:val="22"/>
          <w:lang w:val="en-AU"/>
        </w:rPr>
        <w:t xml:space="preserve"> Institute for Bioengineering and Nanotechnology</w:t>
      </w:r>
      <w:r w:rsidR="00711813" w:rsidRPr="006B3866">
        <w:rPr>
          <w:rFonts w:ascii="Calibri" w:hAnsi="Calibri" w:cs="Calibri"/>
          <w:sz w:val="22"/>
          <w:szCs w:val="22"/>
          <w:lang w:val="en-AU"/>
        </w:rPr>
        <w:t xml:space="preserve">, </w:t>
      </w:r>
      <w:r w:rsidR="00EE0E73">
        <w:rPr>
          <w:rFonts w:ascii="Calibri" w:hAnsi="Calibri" w:cs="Calibri"/>
          <w:sz w:val="22"/>
          <w:szCs w:val="22"/>
          <w:lang w:val="en-AU"/>
        </w:rPr>
        <w:t>the University of Queensland</w:t>
      </w:r>
      <w:r w:rsidR="00711813" w:rsidRPr="006B3866">
        <w:rPr>
          <w:rFonts w:ascii="Calibri" w:hAnsi="Calibri" w:cs="Calibri"/>
          <w:sz w:val="22"/>
          <w:szCs w:val="22"/>
          <w:lang w:val="en-AU"/>
        </w:rPr>
        <w:t xml:space="preserve">, </w:t>
      </w:r>
      <w:r w:rsidR="001231E6">
        <w:rPr>
          <w:rFonts w:ascii="Calibri" w:hAnsi="Calibri" w:cs="Calibri"/>
          <w:sz w:val="22"/>
          <w:szCs w:val="22"/>
          <w:lang w:val="en-AU"/>
        </w:rPr>
        <w:t>Brisbane</w:t>
      </w:r>
      <w:r w:rsidR="00EF12F3" w:rsidRPr="006B3866">
        <w:rPr>
          <w:rFonts w:ascii="Calibri" w:hAnsi="Calibri" w:cs="Calibri"/>
          <w:sz w:val="22"/>
          <w:szCs w:val="22"/>
          <w:lang w:val="en-AU"/>
        </w:rPr>
        <w:t xml:space="preserve">, </w:t>
      </w:r>
      <w:r w:rsidR="001231E6">
        <w:rPr>
          <w:rFonts w:ascii="Calibri" w:hAnsi="Calibri" w:cs="Calibri"/>
          <w:sz w:val="22"/>
          <w:szCs w:val="22"/>
          <w:lang w:val="en-AU"/>
        </w:rPr>
        <w:t>Australia</w:t>
      </w:r>
      <w:r w:rsidR="00711813" w:rsidRPr="006B3866">
        <w:rPr>
          <w:rFonts w:ascii="Calibri" w:hAnsi="Calibri" w:cs="Calibri"/>
          <w:sz w:val="22"/>
          <w:szCs w:val="22"/>
          <w:lang w:val="en-AU"/>
        </w:rPr>
        <w:t xml:space="preserve">; </w:t>
      </w:r>
      <w:proofErr w:type="spellStart"/>
      <w:r>
        <w:rPr>
          <w:rFonts w:ascii="Calibri" w:hAnsi="Calibri" w:cs="Calibri"/>
          <w:sz w:val="22"/>
          <w:szCs w:val="22"/>
          <w:vertAlign w:val="superscript"/>
          <w:lang w:val="en-AU"/>
        </w:rPr>
        <w:t>B</w:t>
      </w:r>
      <w:r w:rsidR="00692DA6">
        <w:rPr>
          <w:rFonts w:ascii="Calibri" w:hAnsi="Calibri" w:cs="Calibri"/>
          <w:sz w:val="22"/>
          <w:szCs w:val="22"/>
          <w:lang w:val="en-AU"/>
        </w:rPr>
        <w:t>Queensland</w:t>
      </w:r>
      <w:proofErr w:type="spellEnd"/>
      <w:r w:rsidR="00692DA6">
        <w:rPr>
          <w:rFonts w:ascii="Calibri" w:hAnsi="Calibri" w:cs="Calibri"/>
          <w:sz w:val="22"/>
          <w:szCs w:val="22"/>
          <w:lang w:val="en-AU"/>
        </w:rPr>
        <w:t xml:space="preserve"> Alliance for Agriculture and Food Innovation,</w:t>
      </w:r>
      <w:r w:rsidR="00692DA6" w:rsidRPr="00692DA6">
        <w:rPr>
          <w:rFonts w:ascii="Calibri" w:hAnsi="Calibri" w:cs="Calibri"/>
          <w:sz w:val="22"/>
          <w:szCs w:val="22"/>
          <w:lang w:val="en-AU"/>
        </w:rPr>
        <w:t xml:space="preserve"> </w:t>
      </w:r>
      <w:r w:rsidR="00692DA6">
        <w:rPr>
          <w:rFonts w:ascii="Calibri" w:hAnsi="Calibri" w:cs="Calibri"/>
          <w:sz w:val="22"/>
          <w:szCs w:val="22"/>
          <w:lang w:val="en-AU"/>
        </w:rPr>
        <w:t>the University of Queensland</w:t>
      </w:r>
      <w:r w:rsidR="00692DA6" w:rsidRPr="006B3866">
        <w:rPr>
          <w:rFonts w:ascii="Calibri" w:hAnsi="Calibri" w:cs="Calibri"/>
          <w:sz w:val="22"/>
          <w:szCs w:val="22"/>
          <w:lang w:val="en-AU"/>
        </w:rPr>
        <w:t xml:space="preserve">, </w:t>
      </w:r>
      <w:r w:rsidR="00692DA6">
        <w:rPr>
          <w:rFonts w:ascii="Calibri" w:hAnsi="Calibri" w:cs="Calibri"/>
          <w:sz w:val="22"/>
          <w:szCs w:val="22"/>
          <w:lang w:val="en-AU"/>
        </w:rPr>
        <w:t>Brisbane</w:t>
      </w:r>
      <w:r w:rsidR="00692DA6" w:rsidRPr="006B3866">
        <w:rPr>
          <w:rFonts w:ascii="Calibri" w:hAnsi="Calibri" w:cs="Calibri"/>
          <w:sz w:val="22"/>
          <w:szCs w:val="22"/>
          <w:lang w:val="en-AU"/>
        </w:rPr>
        <w:t xml:space="preserve">, </w:t>
      </w:r>
      <w:r w:rsidR="00692DA6">
        <w:rPr>
          <w:rFonts w:ascii="Calibri" w:hAnsi="Calibri" w:cs="Calibri"/>
          <w:sz w:val="22"/>
          <w:szCs w:val="22"/>
          <w:lang w:val="en-AU"/>
        </w:rPr>
        <w:t>Australia</w:t>
      </w:r>
      <w:r w:rsidR="00711813" w:rsidRPr="006B3866">
        <w:rPr>
          <w:rFonts w:ascii="Calibri" w:hAnsi="Calibri" w:cs="Calibri"/>
          <w:sz w:val="22"/>
          <w:szCs w:val="22"/>
          <w:lang w:val="en-AU"/>
        </w:rPr>
        <w:t>.</w:t>
      </w: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35D9DF9C" w14:textId="47889001" w:rsidR="00711813" w:rsidRPr="006B3866" w:rsidRDefault="00711813" w:rsidP="009A4CFF">
      <w:pPr>
        <w:ind w:left="284" w:right="282"/>
        <w:jc w:val="both"/>
        <w:rPr>
          <w:rFonts w:ascii="Calibri" w:hAnsi="Calibri" w:cs="Calibri"/>
          <w:sz w:val="22"/>
          <w:szCs w:val="22"/>
          <w:lang w:val="en-AU"/>
        </w:rPr>
      </w:pPr>
      <w:r w:rsidRPr="00447188">
        <w:rPr>
          <w:rFonts w:ascii="Calibri" w:hAnsi="Calibri" w:cs="Calibri"/>
          <w:b/>
          <w:bCs/>
          <w:sz w:val="22"/>
          <w:szCs w:val="22"/>
          <w:lang w:val="en-AU"/>
        </w:rPr>
        <w:t>Introduction</w:t>
      </w:r>
      <w:r w:rsidR="00447188">
        <w:rPr>
          <w:rFonts w:ascii="Calibri" w:hAnsi="Calibri" w:cs="Calibri"/>
          <w:sz w:val="22"/>
          <w:szCs w:val="22"/>
          <w:lang w:val="en-AU"/>
        </w:rPr>
        <w:t xml:space="preserve"> </w:t>
      </w:r>
    </w:p>
    <w:p w14:paraId="78E34ECF" w14:textId="6103FF20" w:rsidR="00B80715" w:rsidRDefault="00B77462" w:rsidP="00A61DE7">
      <w:pPr>
        <w:ind w:left="284" w:right="282"/>
        <w:jc w:val="both"/>
        <w:rPr>
          <w:rFonts w:ascii="Calibri" w:hAnsi="Calibri" w:cs="Calibri"/>
          <w:sz w:val="22"/>
          <w:szCs w:val="22"/>
          <w:lang w:val="en-AU"/>
        </w:rPr>
      </w:pPr>
      <w:r w:rsidRPr="00B77462">
        <w:rPr>
          <w:rFonts w:ascii="Calibri" w:hAnsi="Calibri" w:cs="Calibri"/>
          <w:sz w:val="22"/>
          <w:szCs w:val="22"/>
          <w:lang w:val="en-AU"/>
        </w:rPr>
        <w:t>The continuous increase of world population is demanding increasing quantity and quality of food supply, and consequently, efficient and environment-friendly nutrients’ supply to the crops.</w:t>
      </w:r>
      <w:r>
        <w:rPr>
          <w:rFonts w:ascii="Calibri" w:hAnsi="Calibri" w:cs="Calibri"/>
          <w:sz w:val="22"/>
          <w:szCs w:val="22"/>
          <w:lang w:val="en-AU"/>
        </w:rPr>
        <w:t xml:space="preserve"> </w:t>
      </w:r>
      <w:r w:rsidR="007227E2">
        <w:rPr>
          <w:rFonts w:ascii="Calibri" w:hAnsi="Calibri" w:cs="Calibri"/>
          <w:sz w:val="22"/>
          <w:szCs w:val="22"/>
          <w:lang w:val="en-AU"/>
        </w:rPr>
        <w:t>By contrast, the disadvantages of the conventional agrochemicals</w:t>
      </w:r>
      <w:r w:rsidR="00954DCF">
        <w:rPr>
          <w:rFonts w:ascii="Calibri" w:hAnsi="Calibri" w:cs="Calibri"/>
          <w:sz w:val="22"/>
          <w:szCs w:val="22"/>
          <w:lang w:val="en-AU"/>
        </w:rPr>
        <w:t xml:space="preserve"> </w:t>
      </w:r>
      <w:r w:rsidR="00447D57">
        <w:rPr>
          <w:rFonts w:ascii="Calibri" w:hAnsi="Calibri" w:cs="Calibri"/>
          <w:sz w:val="22"/>
          <w:szCs w:val="22"/>
          <w:lang w:val="en-AU"/>
        </w:rPr>
        <w:t>are</w:t>
      </w:r>
      <w:r w:rsidR="007227E2">
        <w:rPr>
          <w:rFonts w:ascii="Calibri" w:hAnsi="Calibri" w:cs="Calibri"/>
          <w:sz w:val="22"/>
          <w:szCs w:val="22"/>
          <w:lang w:val="en-AU"/>
        </w:rPr>
        <w:t xml:space="preserve"> noticed </w:t>
      </w:r>
      <w:r w:rsidR="003F5C7F">
        <w:rPr>
          <w:rFonts w:ascii="Calibri" w:hAnsi="Calibri" w:cs="Calibri"/>
          <w:sz w:val="22"/>
          <w:szCs w:val="22"/>
          <w:lang w:val="en-AU"/>
        </w:rPr>
        <w:t>by the public</w:t>
      </w:r>
      <w:r w:rsidR="007C3C6F">
        <w:rPr>
          <w:rFonts w:ascii="Calibri" w:hAnsi="Calibri" w:cs="Calibri"/>
          <w:sz w:val="22"/>
          <w:szCs w:val="22"/>
          <w:lang w:val="en-AU"/>
        </w:rPr>
        <w:t>, which requires a</w:t>
      </w:r>
      <w:r w:rsidR="007227E2">
        <w:rPr>
          <w:rFonts w:ascii="Calibri" w:hAnsi="Calibri" w:cs="Calibri"/>
          <w:sz w:val="22"/>
          <w:szCs w:val="22"/>
          <w:lang w:val="en-AU"/>
        </w:rPr>
        <w:t xml:space="preserve"> new revolution of agricultural technology.</w:t>
      </w:r>
      <w:r w:rsidR="00954DCF">
        <w:rPr>
          <w:rFonts w:ascii="Calibri" w:hAnsi="Calibri" w:cs="Calibri"/>
          <w:sz w:val="22"/>
          <w:szCs w:val="22"/>
          <w:lang w:val="en-AU"/>
        </w:rPr>
        <w:t xml:space="preserve"> [</w:t>
      </w:r>
      <w:r w:rsidR="00CB2F21">
        <w:rPr>
          <w:rFonts w:ascii="Calibri" w:hAnsi="Calibri" w:cs="Calibri"/>
          <w:sz w:val="22"/>
          <w:szCs w:val="22"/>
          <w:lang w:val="en-AU"/>
        </w:rPr>
        <w:t>1</w:t>
      </w:r>
      <w:r w:rsidR="00954DCF">
        <w:rPr>
          <w:rFonts w:ascii="Calibri" w:hAnsi="Calibri" w:cs="Calibri"/>
          <w:sz w:val="22"/>
          <w:szCs w:val="22"/>
          <w:lang w:val="en-AU"/>
        </w:rPr>
        <w:t>]</w:t>
      </w:r>
      <w:r w:rsidR="00A61DE7">
        <w:rPr>
          <w:rFonts w:ascii="Calibri" w:hAnsi="Calibri" w:cs="Calibri"/>
          <w:sz w:val="22"/>
          <w:szCs w:val="22"/>
          <w:lang w:val="en-AU"/>
        </w:rPr>
        <w:t xml:space="preserve"> </w:t>
      </w:r>
      <w:r w:rsidR="007227E2">
        <w:rPr>
          <w:rFonts w:ascii="Calibri" w:hAnsi="Calibri" w:cs="Calibri"/>
          <w:sz w:val="22"/>
          <w:szCs w:val="22"/>
          <w:lang w:val="en-AU"/>
        </w:rPr>
        <w:t>The</w:t>
      </w:r>
      <w:r w:rsidR="00447D57" w:rsidRPr="00447D57">
        <w:rPr>
          <w:rFonts w:ascii="Calibri" w:hAnsi="Calibri" w:cs="Calibri"/>
          <w:sz w:val="22"/>
          <w:szCs w:val="22"/>
          <w:lang w:val="en-AU"/>
        </w:rPr>
        <w:t xml:space="preserve"> </w:t>
      </w:r>
      <w:r w:rsidR="00447D57">
        <w:rPr>
          <w:rFonts w:ascii="Calibri" w:hAnsi="Calibri" w:cs="Calibri"/>
          <w:sz w:val="22"/>
          <w:szCs w:val="22"/>
          <w:lang w:val="en-AU"/>
        </w:rPr>
        <w:t xml:space="preserve">combination </w:t>
      </w:r>
      <w:r w:rsidR="007227E2">
        <w:rPr>
          <w:rFonts w:ascii="Calibri" w:hAnsi="Calibri" w:cs="Calibri"/>
          <w:sz w:val="22"/>
          <w:szCs w:val="22"/>
          <w:lang w:val="en-AU"/>
        </w:rPr>
        <w:t xml:space="preserve">of nanotechnology </w:t>
      </w:r>
      <w:r w:rsidR="008F2E3E">
        <w:rPr>
          <w:rFonts w:ascii="Calibri" w:hAnsi="Calibri" w:cs="Calibri"/>
          <w:sz w:val="22"/>
          <w:szCs w:val="22"/>
          <w:lang w:val="en-AU"/>
        </w:rPr>
        <w:t xml:space="preserve">with agriculture is </w:t>
      </w:r>
      <w:r w:rsidR="00B80715">
        <w:rPr>
          <w:rFonts w:ascii="Calibri" w:hAnsi="Calibri" w:cs="Calibri"/>
          <w:sz w:val="22"/>
          <w:szCs w:val="22"/>
          <w:lang w:val="en-AU"/>
        </w:rPr>
        <w:t xml:space="preserve">attracting </w:t>
      </w:r>
      <w:r w:rsidR="00CB2F21">
        <w:rPr>
          <w:rFonts w:ascii="Calibri" w:hAnsi="Calibri" w:cs="Calibri"/>
          <w:sz w:val="22"/>
          <w:szCs w:val="22"/>
          <w:lang w:val="en-AU"/>
        </w:rPr>
        <w:t>massive</w:t>
      </w:r>
      <w:bookmarkStart w:id="0" w:name="_GoBack"/>
      <w:bookmarkEnd w:id="0"/>
      <w:r w:rsidR="00CB2F21">
        <w:rPr>
          <w:rFonts w:ascii="Calibri" w:hAnsi="Calibri" w:cs="Calibri"/>
          <w:sz w:val="22"/>
          <w:szCs w:val="22"/>
          <w:lang w:val="en-AU"/>
        </w:rPr>
        <w:t xml:space="preserve"> </w:t>
      </w:r>
      <w:r w:rsidR="00B80715">
        <w:rPr>
          <w:rFonts w:ascii="Calibri" w:hAnsi="Calibri" w:cs="Calibri"/>
          <w:sz w:val="22"/>
          <w:szCs w:val="22"/>
          <w:lang w:val="en-AU"/>
        </w:rPr>
        <w:t>attention.</w:t>
      </w:r>
      <w:r w:rsidR="007125A3">
        <w:rPr>
          <w:rFonts w:ascii="Calibri" w:hAnsi="Calibri" w:cs="Calibri"/>
          <w:sz w:val="22"/>
          <w:szCs w:val="22"/>
          <w:lang w:val="en-AU"/>
        </w:rPr>
        <w:t xml:space="preserve"> [</w:t>
      </w:r>
      <w:r w:rsidR="00CB2F21">
        <w:rPr>
          <w:rFonts w:ascii="Calibri" w:hAnsi="Calibri" w:cs="Calibri"/>
          <w:sz w:val="22"/>
          <w:szCs w:val="22"/>
          <w:lang w:val="en-AU"/>
        </w:rPr>
        <w:t>2</w:t>
      </w:r>
      <w:r w:rsidR="007125A3">
        <w:rPr>
          <w:rFonts w:ascii="Calibri" w:hAnsi="Calibri" w:cs="Calibri"/>
          <w:sz w:val="22"/>
          <w:szCs w:val="22"/>
          <w:lang w:val="en-AU"/>
        </w:rPr>
        <w:t>]</w:t>
      </w:r>
      <w:r w:rsidR="00447D57">
        <w:rPr>
          <w:rFonts w:ascii="Calibri" w:hAnsi="Calibri" w:cs="Calibri"/>
          <w:sz w:val="22"/>
          <w:szCs w:val="22"/>
          <w:lang w:val="en-AU"/>
        </w:rPr>
        <w:t xml:space="preserve"> </w:t>
      </w:r>
      <w:r w:rsidR="00B80715">
        <w:rPr>
          <w:rFonts w:ascii="Calibri" w:hAnsi="Calibri" w:cs="Calibri"/>
          <w:sz w:val="22"/>
          <w:szCs w:val="22"/>
          <w:lang w:val="en-AU"/>
        </w:rPr>
        <w:t xml:space="preserve">Among the potential nanomaterials, synthetic nanoclays have demonstrated inspiring properties and performance as </w:t>
      </w:r>
      <w:r w:rsidR="00884015">
        <w:rPr>
          <w:rFonts w:ascii="Calibri" w:hAnsi="Calibri" w:cs="Calibri"/>
          <w:sz w:val="22"/>
          <w:szCs w:val="22"/>
          <w:lang w:val="en-AU"/>
        </w:rPr>
        <w:t xml:space="preserve">sustainable </w:t>
      </w:r>
      <w:r w:rsidR="00B80715">
        <w:rPr>
          <w:rFonts w:ascii="Calibri" w:hAnsi="Calibri" w:cs="Calibri"/>
          <w:sz w:val="22"/>
          <w:szCs w:val="22"/>
          <w:lang w:val="en-AU"/>
        </w:rPr>
        <w:t xml:space="preserve">agrochemicals. </w:t>
      </w:r>
    </w:p>
    <w:p w14:paraId="02643439" w14:textId="6D709959" w:rsidR="00045573" w:rsidRPr="006B3866" w:rsidRDefault="00045573" w:rsidP="009A4CFF">
      <w:pPr>
        <w:ind w:left="284" w:right="282"/>
        <w:jc w:val="both"/>
        <w:rPr>
          <w:rFonts w:ascii="Calibri" w:hAnsi="Calibri" w:cs="Calibri"/>
          <w:sz w:val="22"/>
          <w:szCs w:val="22"/>
          <w:lang w:val="en-AU"/>
        </w:rPr>
      </w:pPr>
    </w:p>
    <w:p w14:paraId="59342C4C" w14:textId="62B011FC" w:rsidR="00711813" w:rsidRPr="000A6D19" w:rsidRDefault="00711813" w:rsidP="009A4CFF">
      <w:pPr>
        <w:ind w:left="284" w:right="282"/>
        <w:jc w:val="both"/>
        <w:rPr>
          <w:rFonts w:ascii="Calibri" w:hAnsi="Calibri" w:cs="Calibri"/>
          <w:b/>
          <w:bCs/>
          <w:lang w:val="en-AU"/>
        </w:rPr>
      </w:pPr>
      <w:r w:rsidRPr="000A6D19">
        <w:rPr>
          <w:rFonts w:ascii="Calibri" w:hAnsi="Calibri" w:cs="Calibri"/>
          <w:b/>
          <w:bCs/>
          <w:lang w:val="en-AU"/>
        </w:rPr>
        <w:t xml:space="preserve">Aims </w:t>
      </w:r>
    </w:p>
    <w:p w14:paraId="4194454A" w14:textId="3AB5ACD8" w:rsidR="00045573" w:rsidRDefault="0024090F" w:rsidP="009A4CFF">
      <w:pPr>
        <w:ind w:left="284" w:right="282"/>
        <w:jc w:val="both"/>
        <w:rPr>
          <w:rFonts w:ascii="Calibri" w:hAnsi="Calibri" w:cs="Calibri"/>
          <w:sz w:val="22"/>
          <w:szCs w:val="22"/>
          <w:lang w:val="en-AU"/>
        </w:rPr>
      </w:pPr>
      <w:r>
        <w:rPr>
          <w:rFonts w:ascii="Calibri" w:hAnsi="Calibri" w:cs="Calibri"/>
          <w:sz w:val="22"/>
          <w:szCs w:val="22"/>
          <w:lang w:val="en-AU"/>
        </w:rPr>
        <w:t>In this presentation, we will briefly summarise the background and the perspectives of nano-enabled agriculture, introduce our recent approaches to the interdisciplinary research bridging nanotechnology and agriculture with synthetic nanoclays, and propose our hypothesis of potential research topics.</w:t>
      </w:r>
    </w:p>
    <w:p w14:paraId="00FD0A80" w14:textId="77777777" w:rsidR="00B80715" w:rsidRPr="006B3866" w:rsidRDefault="00B80715" w:rsidP="009A4CFF">
      <w:pPr>
        <w:ind w:left="284" w:right="282"/>
        <w:jc w:val="both"/>
        <w:rPr>
          <w:rFonts w:ascii="Calibri" w:hAnsi="Calibri" w:cs="Calibri"/>
          <w:sz w:val="22"/>
          <w:szCs w:val="22"/>
          <w:lang w:val="en-AU"/>
        </w:rPr>
      </w:pPr>
    </w:p>
    <w:p w14:paraId="70330504" w14:textId="288E3E84" w:rsidR="00711813" w:rsidRPr="000A6D19" w:rsidRDefault="00711813" w:rsidP="009A4CFF">
      <w:pPr>
        <w:ind w:left="284" w:right="282"/>
        <w:jc w:val="both"/>
        <w:rPr>
          <w:rFonts w:ascii="Calibri" w:hAnsi="Calibri" w:cs="Calibri"/>
          <w:b/>
          <w:bCs/>
          <w:lang w:val="en-AU"/>
        </w:rPr>
      </w:pPr>
      <w:r w:rsidRPr="000A6D19">
        <w:rPr>
          <w:rFonts w:ascii="Calibri" w:hAnsi="Calibri" w:cs="Calibri"/>
          <w:b/>
          <w:bCs/>
          <w:lang w:val="en-AU"/>
        </w:rPr>
        <w:t>Methods</w:t>
      </w:r>
    </w:p>
    <w:p w14:paraId="310A63B2" w14:textId="4D6CD84B" w:rsidR="00954DCF" w:rsidRDefault="00576209" w:rsidP="007125A3">
      <w:pPr>
        <w:ind w:left="284" w:right="282"/>
        <w:jc w:val="both"/>
        <w:rPr>
          <w:rFonts w:ascii="Calibri" w:hAnsi="Calibri" w:cs="Calibri"/>
          <w:sz w:val="22"/>
          <w:szCs w:val="22"/>
          <w:lang w:val="en-AU"/>
        </w:rPr>
      </w:pPr>
      <w:r>
        <w:rPr>
          <w:rFonts w:ascii="Calibri" w:hAnsi="Calibri" w:cs="Calibri"/>
          <w:sz w:val="22"/>
          <w:szCs w:val="22"/>
          <w:lang w:val="en-AU"/>
        </w:rPr>
        <w:t xml:space="preserve">Nanoclays were prepared via co-precipitation, mixing salt solution and base solution at </w:t>
      </w:r>
      <w:r w:rsidR="007C3C6F">
        <w:rPr>
          <w:rFonts w:ascii="Calibri" w:hAnsi="Calibri" w:cs="Calibri"/>
          <w:sz w:val="22"/>
          <w:szCs w:val="22"/>
          <w:lang w:val="en-AU"/>
        </w:rPr>
        <w:t xml:space="preserve">a </w:t>
      </w:r>
      <w:r>
        <w:rPr>
          <w:rFonts w:ascii="Calibri" w:hAnsi="Calibri" w:cs="Calibri"/>
          <w:sz w:val="22"/>
          <w:szCs w:val="22"/>
          <w:lang w:val="en-AU"/>
        </w:rPr>
        <w:t>certain molar ratio together. The adoption of this easy preparation method is of industrial interest</w:t>
      </w:r>
      <w:r w:rsidR="007C3C6F">
        <w:rPr>
          <w:rFonts w:ascii="Calibri" w:hAnsi="Calibri" w:cs="Calibri"/>
          <w:sz w:val="22"/>
          <w:szCs w:val="22"/>
          <w:lang w:val="en-AU"/>
        </w:rPr>
        <w:t>s</w:t>
      </w:r>
      <w:r>
        <w:rPr>
          <w:rFonts w:ascii="Calibri" w:hAnsi="Calibri" w:cs="Calibri"/>
          <w:sz w:val="22"/>
          <w:szCs w:val="22"/>
          <w:lang w:val="en-AU"/>
        </w:rPr>
        <w:t xml:space="preserve"> for smooth translation from research to industry.</w:t>
      </w:r>
    </w:p>
    <w:p w14:paraId="16E2C59B" w14:textId="77777777" w:rsidR="00884015" w:rsidRPr="006B3866" w:rsidRDefault="00884015" w:rsidP="009A4CFF">
      <w:pPr>
        <w:ind w:left="284" w:right="282"/>
        <w:jc w:val="both"/>
        <w:rPr>
          <w:rFonts w:ascii="Calibri" w:hAnsi="Calibri" w:cs="Calibri"/>
          <w:sz w:val="22"/>
          <w:szCs w:val="22"/>
          <w:lang w:val="en-AU"/>
        </w:rPr>
      </w:pPr>
    </w:p>
    <w:p w14:paraId="7047AF77" w14:textId="74011E33" w:rsidR="00711813" w:rsidRPr="000A6D19" w:rsidRDefault="00711813" w:rsidP="009A4CFF">
      <w:pPr>
        <w:ind w:left="284" w:right="282"/>
        <w:jc w:val="both"/>
        <w:rPr>
          <w:rFonts w:ascii="Calibri" w:hAnsi="Calibri" w:cs="Calibri"/>
          <w:b/>
          <w:bCs/>
          <w:lang w:val="en-AU"/>
        </w:rPr>
      </w:pPr>
      <w:r w:rsidRPr="000A6D19">
        <w:rPr>
          <w:rFonts w:ascii="Calibri" w:hAnsi="Calibri" w:cs="Calibri"/>
          <w:b/>
          <w:bCs/>
          <w:lang w:val="en-AU"/>
        </w:rPr>
        <w:t xml:space="preserve">Results </w:t>
      </w:r>
    </w:p>
    <w:p w14:paraId="67492FE4" w14:textId="723D4E70" w:rsidR="007125A3" w:rsidRDefault="00576209" w:rsidP="00A61DE7">
      <w:pPr>
        <w:ind w:left="284" w:right="282"/>
        <w:jc w:val="both"/>
        <w:rPr>
          <w:rFonts w:ascii="Calibri" w:hAnsi="Calibri" w:cs="Calibri"/>
          <w:sz w:val="22"/>
          <w:szCs w:val="22"/>
          <w:lang w:val="en-AU"/>
        </w:rPr>
      </w:pPr>
      <w:r>
        <w:rPr>
          <w:rFonts w:ascii="Calibri" w:hAnsi="Calibri" w:cs="Calibri"/>
          <w:sz w:val="22"/>
          <w:szCs w:val="22"/>
          <w:lang w:val="en-AU"/>
        </w:rPr>
        <w:t>The synthetic nanoclay</w:t>
      </w:r>
      <w:r w:rsidR="007C3C6F">
        <w:rPr>
          <w:rFonts w:ascii="Calibri" w:hAnsi="Calibri" w:cs="Calibri"/>
          <w:sz w:val="22"/>
          <w:szCs w:val="22"/>
          <w:lang w:val="en-AU"/>
        </w:rPr>
        <w:t>s</w:t>
      </w:r>
      <w:r>
        <w:rPr>
          <w:rFonts w:ascii="Calibri" w:hAnsi="Calibri" w:cs="Calibri"/>
          <w:sz w:val="22"/>
          <w:szCs w:val="22"/>
          <w:lang w:val="en-AU"/>
        </w:rPr>
        <w:t xml:space="preserve"> designed for long-term micronutrient foliar fertilisers </w:t>
      </w:r>
      <w:r w:rsidR="007125A3">
        <w:rPr>
          <w:rFonts w:ascii="Calibri" w:hAnsi="Calibri" w:cs="Calibri"/>
          <w:sz w:val="22"/>
          <w:szCs w:val="22"/>
          <w:lang w:val="en-AU"/>
        </w:rPr>
        <w:t>with</w:t>
      </w:r>
      <w:r>
        <w:rPr>
          <w:rFonts w:ascii="Calibri" w:hAnsi="Calibri" w:cs="Calibri"/>
          <w:sz w:val="22"/>
          <w:szCs w:val="22"/>
          <w:lang w:val="en-AU"/>
        </w:rPr>
        <w:t xml:space="preserve"> plate-like morphology</w:t>
      </w:r>
      <w:r w:rsidR="007125A3">
        <w:rPr>
          <w:rFonts w:ascii="Calibri" w:hAnsi="Calibri" w:cs="Calibri"/>
          <w:sz w:val="22"/>
          <w:szCs w:val="22"/>
          <w:lang w:val="en-AU"/>
        </w:rPr>
        <w:t xml:space="preserve"> and</w:t>
      </w:r>
      <w:r>
        <w:rPr>
          <w:rFonts w:ascii="Calibri" w:hAnsi="Calibri" w:cs="Calibri"/>
          <w:sz w:val="22"/>
          <w:szCs w:val="22"/>
          <w:lang w:val="en-AU"/>
        </w:rPr>
        <w:t xml:space="preserve"> uniform deposition on the leaf surface</w:t>
      </w:r>
      <w:r w:rsidR="007125A3">
        <w:rPr>
          <w:rFonts w:ascii="Calibri" w:hAnsi="Calibri" w:cs="Calibri"/>
          <w:sz w:val="22"/>
          <w:szCs w:val="22"/>
          <w:lang w:val="en-AU"/>
        </w:rPr>
        <w:t xml:space="preserve"> have suitable solubility to maintain the concentration levels of metal ions for sustainable correction of micronutrient deficiency. [</w:t>
      </w:r>
      <w:r w:rsidR="00CB2F21">
        <w:rPr>
          <w:rFonts w:ascii="Calibri" w:hAnsi="Calibri" w:cs="Calibri"/>
          <w:sz w:val="22"/>
          <w:szCs w:val="22"/>
          <w:lang w:val="en-AU"/>
        </w:rPr>
        <w:t>3</w:t>
      </w:r>
      <w:r w:rsidR="007125A3">
        <w:rPr>
          <w:rFonts w:ascii="Calibri" w:hAnsi="Calibri" w:cs="Calibri"/>
          <w:sz w:val="22"/>
          <w:szCs w:val="22"/>
          <w:lang w:val="en-AU"/>
        </w:rPr>
        <w:t>]</w:t>
      </w:r>
      <w:r w:rsidR="00A61DE7">
        <w:rPr>
          <w:rFonts w:ascii="Calibri" w:hAnsi="Calibri" w:cs="Calibri"/>
          <w:sz w:val="22"/>
          <w:szCs w:val="22"/>
          <w:lang w:val="en-AU"/>
        </w:rPr>
        <w:t xml:space="preserve"> </w:t>
      </w:r>
      <w:r w:rsidR="007125A3">
        <w:rPr>
          <w:rFonts w:ascii="Calibri" w:hAnsi="Calibri" w:cs="Calibri"/>
          <w:sz w:val="22"/>
          <w:szCs w:val="22"/>
          <w:lang w:val="en-AU"/>
        </w:rPr>
        <w:t xml:space="preserve">Layered double hydroxides, a family of anionic synthetic nanoclays, </w:t>
      </w:r>
      <w:r w:rsidR="003D0410">
        <w:rPr>
          <w:rFonts w:ascii="Calibri" w:hAnsi="Calibri" w:cs="Calibri"/>
          <w:sz w:val="22"/>
          <w:szCs w:val="22"/>
          <w:lang w:val="en-AU"/>
        </w:rPr>
        <w:t>can load and protect double-strand RNA and consequently protect crops against viruses via RNA interference. [</w:t>
      </w:r>
      <w:r w:rsidR="00CB2F21">
        <w:rPr>
          <w:rFonts w:ascii="Calibri" w:hAnsi="Calibri" w:cs="Calibri"/>
          <w:sz w:val="22"/>
          <w:szCs w:val="22"/>
          <w:lang w:val="en-AU"/>
        </w:rPr>
        <w:t>4</w:t>
      </w:r>
      <w:r w:rsidR="003D0410">
        <w:rPr>
          <w:rFonts w:ascii="Calibri" w:hAnsi="Calibri" w:cs="Calibri"/>
          <w:sz w:val="22"/>
          <w:szCs w:val="22"/>
          <w:lang w:val="en-AU"/>
        </w:rPr>
        <w:t>]</w:t>
      </w:r>
    </w:p>
    <w:p w14:paraId="6A8322B1" w14:textId="77777777" w:rsidR="00576209" w:rsidRPr="006B3866" w:rsidRDefault="00576209" w:rsidP="009A4CFF">
      <w:pPr>
        <w:ind w:left="284" w:right="282"/>
        <w:jc w:val="both"/>
        <w:rPr>
          <w:rFonts w:ascii="Calibri" w:hAnsi="Calibri" w:cs="Calibri"/>
          <w:sz w:val="22"/>
          <w:szCs w:val="22"/>
          <w:lang w:val="en-AU"/>
        </w:rPr>
      </w:pPr>
    </w:p>
    <w:p w14:paraId="2B7EDDB3" w14:textId="69F078F8" w:rsidR="00EF12F3" w:rsidRPr="000A6D19" w:rsidRDefault="00711813" w:rsidP="009A4CFF">
      <w:pPr>
        <w:ind w:left="284" w:right="282"/>
        <w:jc w:val="both"/>
        <w:rPr>
          <w:rFonts w:ascii="Calibri" w:hAnsi="Calibri" w:cs="Calibri"/>
          <w:b/>
          <w:bCs/>
          <w:lang w:val="en-AU"/>
        </w:rPr>
      </w:pPr>
      <w:r w:rsidRPr="000A6D19">
        <w:rPr>
          <w:rFonts w:ascii="Calibri" w:hAnsi="Calibri" w:cs="Calibri"/>
          <w:b/>
          <w:bCs/>
          <w:lang w:val="en-AU"/>
        </w:rPr>
        <w:t xml:space="preserve">Discussion </w:t>
      </w:r>
    </w:p>
    <w:p w14:paraId="3D0BD353" w14:textId="1C092A0C" w:rsidR="00EF12F3" w:rsidRDefault="003D0410" w:rsidP="009A4CFF">
      <w:pPr>
        <w:ind w:left="284" w:right="282"/>
        <w:jc w:val="both"/>
        <w:rPr>
          <w:rFonts w:ascii="Calibri" w:hAnsi="Calibri" w:cs="Calibri"/>
          <w:sz w:val="22"/>
          <w:szCs w:val="22"/>
          <w:lang w:val="en-AU"/>
        </w:rPr>
      </w:pPr>
      <w:r>
        <w:rPr>
          <w:rFonts w:ascii="Calibri" w:hAnsi="Calibri" w:cs="Calibri"/>
          <w:sz w:val="22"/>
          <w:szCs w:val="22"/>
          <w:lang w:val="en-AU"/>
        </w:rPr>
        <w:t>The designed rationale of synthetic nanoclays is the utilisation of natural physical phenomenon and physiological behaviour of plants. The nanoclays degrade during its effective period, leaving no environmental concern in the application.</w:t>
      </w:r>
    </w:p>
    <w:p w14:paraId="6903956C" w14:textId="77777777" w:rsidR="003D0410" w:rsidRPr="006B3866" w:rsidRDefault="003D0410" w:rsidP="009A4CFF">
      <w:pPr>
        <w:ind w:left="284" w:right="282"/>
        <w:jc w:val="both"/>
        <w:rPr>
          <w:rFonts w:ascii="Calibri" w:hAnsi="Calibri" w:cs="Calibri"/>
          <w:sz w:val="22"/>
          <w:szCs w:val="22"/>
          <w:lang w:val="en-AU"/>
        </w:rPr>
      </w:pPr>
    </w:p>
    <w:p w14:paraId="181C748C" w14:textId="495DB868" w:rsidR="00641190" w:rsidRPr="000A6D19" w:rsidRDefault="00045573" w:rsidP="009A4CFF">
      <w:pPr>
        <w:ind w:left="284" w:right="282"/>
        <w:jc w:val="both"/>
        <w:rPr>
          <w:rFonts w:ascii="Calibri" w:hAnsi="Calibri" w:cs="Calibri"/>
          <w:b/>
          <w:bCs/>
          <w:sz w:val="22"/>
          <w:szCs w:val="22"/>
        </w:rPr>
      </w:pPr>
      <w:r w:rsidRPr="000A6D19">
        <w:rPr>
          <w:rFonts w:ascii="Calibri" w:hAnsi="Calibri" w:cs="Calibri"/>
          <w:b/>
          <w:bCs/>
          <w:lang w:val="en-AU"/>
        </w:rPr>
        <w:t>Conclusion</w:t>
      </w:r>
      <w:r w:rsidRPr="000A6D19">
        <w:rPr>
          <w:rFonts w:ascii="Calibri" w:hAnsi="Calibri" w:cs="Calibri"/>
          <w:b/>
          <w:bCs/>
          <w:sz w:val="22"/>
          <w:szCs w:val="22"/>
        </w:rPr>
        <w:t xml:space="preserve"> </w:t>
      </w:r>
    </w:p>
    <w:p w14:paraId="734471FB" w14:textId="641A42FC" w:rsidR="00641190" w:rsidRPr="006B3866" w:rsidRDefault="00CB2F21" w:rsidP="009A4CFF">
      <w:pPr>
        <w:ind w:left="284" w:right="282"/>
        <w:jc w:val="both"/>
        <w:rPr>
          <w:rFonts w:ascii="Calibri" w:hAnsi="Calibri" w:cs="Calibri"/>
          <w:sz w:val="22"/>
          <w:szCs w:val="22"/>
        </w:rPr>
      </w:pPr>
      <w:r>
        <w:rPr>
          <w:rFonts w:ascii="Calibri" w:hAnsi="Calibri" w:cs="Calibri"/>
          <w:sz w:val="22"/>
          <w:szCs w:val="22"/>
        </w:rPr>
        <w:t xml:space="preserve">The unique properties of synthetic </w:t>
      </w:r>
      <w:proofErr w:type="spellStart"/>
      <w:r>
        <w:rPr>
          <w:rFonts w:ascii="Calibri" w:hAnsi="Calibri" w:cs="Calibri"/>
          <w:sz w:val="22"/>
          <w:szCs w:val="22"/>
        </w:rPr>
        <w:t>nanoclays</w:t>
      </w:r>
      <w:proofErr w:type="spellEnd"/>
      <w:r>
        <w:rPr>
          <w:rFonts w:ascii="Calibri" w:hAnsi="Calibri" w:cs="Calibri"/>
          <w:sz w:val="22"/>
          <w:szCs w:val="22"/>
        </w:rPr>
        <w:t xml:space="preserve"> could afford a reliable matrix in the </w:t>
      </w:r>
      <w:r w:rsidR="00D07845">
        <w:rPr>
          <w:rFonts w:ascii="Calibri" w:hAnsi="Calibri" w:cs="Calibri"/>
          <w:sz w:val="22"/>
          <w:szCs w:val="22"/>
        </w:rPr>
        <w:t xml:space="preserve">R&amp;D </w:t>
      </w:r>
      <w:r>
        <w:rPr>
          <w:rFonts w:ascii="Calibri" w:hAnsi="Calibri" w:cs="Calibri"/>
          <w:sz w:val="22"/>
          <w:szCs w:val="22"/>
        </w:rPr>
        <w:t>of future foliar agrochemicals with sustainable crop protection</w:t>
      </w:r>
      <w:r w:rsidR="007C3C6F">
        <w:rPr>
          <w:rFonts w:ascii="Calibri" w:hAnsi="Calibri" w:cs="Calibri"/>
          <w:sz w:val="22"/>
          <w:szCs w:val="22"/>
        </w:rPr>
        <w:t xml:space="preserve"> and correction of nutrient deficiency</w:t>
      </w:r>
      <w:r>
        <w:rPr>
          <w:rFonts w:ascii="Calibri" w:hAnsi="Calibri" w:cs="Calibri"/>
          <w:sz w:val="22"/>
          <w:szCs w:val="22"/>
        </w:rPr>
        <w:t>.</w:t>
      </w:r>
    </w:p>
    <w:p w14:paraId="766DA9A5" w14:textId="60863F4C" w:rsidR="004E5450" w:rsidRDefault="004E5450" w:rsidP="009A4CFF">
      <w:pPr>
        <w:ind w:left="284" w:right="282"/>
        <w:jc w:val="both"/>
        <w:rPr>
          <w:rFonts w:ascii="Calibri" w:hAnsi="Calibri" w:cs="Calibri"/>
          <w:sz w:val="22"/>
          <w:szCs w:val="22"/>
          <w:lang w:val="en-AU"/>
        </w:rPr>
      </w:pPr>
    </w:p>
    <w:p w14:paraId="193725D9" w14:textId="52D5785E" w:rsidR="005F19FF" w:rsidRP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2FCEB48D" w14:textId="4F48E813" w:rsidR="00954DCF" w:rsidRPr="00CB5C4B" w:rsidRDefault="00494500" w:rsidP="009A4CFF">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Pr>
          <w:rFonts w:asciiTheme="minorHAnsi" w:hAnsiTheme="minorHAnsi" w:cstheme="minorHAnsi"/>
          <w:sz w:val="22"/>
          <w:szCs w:val="22"/>
          <w:lang w:eastAsia="en-AU"/>
        </w:rPr>
        <w:t xml:space="preserve">Lowry, G. V., </w:t>
      </w:r>
      <w:proofErr w:type="spellStart"/>
      <w:r>
        <w:rPr>
          <w:rFonts w:asciiTheme="minorHAnsi" w:hAnsiTheme="minorHAnsi" w:cstheme="minorHAnsi"/>
          <w:sz w:val="22"/>
          <w:szCs w:val="22"/>
          <w:lang w:eastAsia="en-AU"/>
        </w:rPr>
        <w:t>Avellan</w:t>
      </w:r>
      <w:proofErr w:type="spellEnd"/>
      <w:r>
        <w:rPr>
          <w:rFonts w:asciiTheme="minorHAnsi" w:hAnsiTheme="minorHAnsi" w:cstheme="minorHAnsi"/>
          <w:sz w:val="22"/>
          <w:szCs w:val="22"/>
          <w:lang w:eastAsia="en-AU"/>
        </w:rPr>
        <w:t>, A., Gilbertson,</w:t>
      </w:r>
      <w:r w:rsidR="00CB5C4B">
        <w:rPr>
          <w:rFonts w:asciiTheme="minorHAnsi" w:hAnsiTheme="minorHAnsi" w:cstheme="minorHAnsi"/>
          <w:sz w:val="22"/>
          <w:szCs w:val="22"/>
          <w:lang w:eastAsia="en-AU"/>
        </w:rPr>
        <w:t xml:space="preserve"> L. M., (2019). </w:t>
      </w:r>
      <w:hyperlink r:id="rId7" w:history="1">
        <w:r w:rsidR="00CB5C4B" w:rsidRPr="00CB5C4B">
          <w:rPr>
            <w:rFonts w:asciiTheme="minorHAnsi" w:hAnsiTheme="minorHAnsi" w:cstheme="minorHAnsi"/>
            <w:sz w:val="22"/>
            <w:szCs w:val="22"/>
          </w:rPr>
          <w:t xml:space="preserve">Opportunities and challenges for nanotechnology in the </w:t>
        </w:r>
        <w:proofErr w:type="spellStart"/>
        <w:r w:rsidR="00CB5C4B" w:rsidRPr="00CB5C4B">
          <w:rPr>
            <w:rFonts w:asciiTheme="minorHAnsi" w:hAnsiTheme="minorHAnsi" w:cstheme="minorHAnsi"/>
            <w:sz w:val="22"/>
            <w:szCs w:val="22"/>
          </w:rPr>
          <w:t>agri</w:t>
        </w:r>
        <w:proofErr w:type="spellEnd"/>
        <w:r w:rsidR="00CB5C4B" w:rsidRPr="00CB5C4B">
          <w:rPr>
            <w:rFonts w:asciiTheme="minorHAnsi" w:hAnsiTheme="minorHAnsi" w:cstheme="minorHAnsi"/>
            <w:sz w:val="22"/>
            <w:szCs w:val="22"/>
          </w:rPr>
          <w:t>-tech revolution</w:t>
        </w:r>
      </w:hyperlink>
      <w:r w:rsidR="00CB5C4B">
        <w:rPr>
          <w:rFonts w:asciiTheme="minorHAnsi" w:hAnsiTheme="minorHAnsi" w:cstheme="minorHAnsi"/>
          <w:bCs/>
          <w:sz w:val="22"/>
          <w:szCs w:val="22"/>
        </w:rPr>
        <w:t>. Nat. Nano., 14, 517-522</w:t>
      </w:r>
    </w:p>
    <w:p w14:paraId="3AFC1052" w14:textId="5FE4F823" w:rsidR="00CB5C4B" w:rsidRDefault="007125A3" w:rsidP="009A4CFF">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Pr>
          <w:rFonts w:asciiTheme="minorHAnsi" w:hAnsiTheme="minorHAnsi" w:cstheme="minorHAnsi"/>
          <w:sz w:val="22"/>
          <w:szCs w:val="22"/>
          <w:lang w:eastAsia="en-AU"/>
        </w:rPr>
        <w:t xml:space="preserve">Mitter, N., &amp; Hussey, K., (2019). </w:t>
      </w:r>
      <w:hyperlink r:id="rId8" w:history="1">
        <w:r w:rsidRPr="007125A3">
          <w:rPr>
            <w:rFonts w:asciiTheme="minorHAnsi" w:hAnsiTheme="minorHAnsi" w:cstheme="minorHAnsi"/>
            <w:sz w:val="22"/>
            <w:szCs w:val="22"/>
          </w:rPr>
          <w:t>Moving policy and regulation forward for nanotechnology applications in agriculture</w:t>
        </w:r>
      </w:hyperlink>
      <w:r>
        <w:rPr>
          <w:rFonts w:asciiTheme="minorHAnsi" w:hAnsiTheme="minorHAnsi" w:cstheme="minorHAnsi"/>
          <w:sz w:val="22"/>
          <w:szCs w:val="22"/>
        </w:rPr>
        <w:t>. Nat. Nano., 14, 508-510</w:t>
      </w:r>
    </w:p>
    <w:p w14:paraId="4D668B36" w14:textId="194D5E3B" w:rsidR="00954DCF" w:rsidRDefault="007125A3" w:rsidP="00954DCF">
      <w:pPr>
        <w:numPr>
          <w:ilvl w:val="0"/>
          <w:numId w:val="1"/>
        </w:numPr>
        <w:shd w:val="clear" w:color="auto" w:fill="FFFFFF"/>
        <w:ind w:left="284" w:right="282" w:hanging="284"/>
        <w:jc w:val="both"/>
        <w:textAlignment w:val="top"/>
        <w:rPr>
          <w:rFonts w:asciiTheme="minorHAnsi" w:hAnsiTheme="minorHAnsi" w:cstheme="minorHAnsi"/>
          <w:bCs/>
          <w:sz w:val="22"/>
          <w:szCs w:val="22"/>
        </w:rPr>
      </w:pPr>
      <w:r>
        <w:rPr>
          <w:rFonts w:asciiTheme="minorHAnsi" w:hAnsiTheme="minorHAnsi" w:cstheme="minorHAnsi"/>
          <w:sz w:val="22"/>
          <w:szCs w:val="22"/>
        </w:rPr>
        <w:t>Li, P.,</w:t>
      </w:r>
      <w:r w:rsidR="00447D57">
        <w:rPr>
          <w:rFonts w:asciiTheme="minorHAnsi" w:hAnsiTheme="minorHAnsi" w:cstheme="minorHAnsi"/>
          <w:sz w:val="22"/>
          <w:szCs w:val="22"/>
        </w:rPr>
        <w:t xml:space="preserve"> Du, Y., Huang, L., Mitter, N., Xu, Z. P., (2016). </w:t>
      </w:r>
      <w:r w:rsidR="00447D57" w:rsidRPr="00447D57">
        <w:rPr>
          <w:rFonts w:asciiTheme="minorHAnsi" w:hAnsiTheme="minorHAnsi" w:cstheme="minorHAnsi"/>
          <w:bCs/>
          <w:sz w:val="22"/>
          <w:szCs w:val="22"/>
        </w:rPr>
        <w:t>Nanotechnology promotes the R&amp;D of new-generation micronutrient foliar fertilizers</w:t>
      </w:r>
      <w:r w:rsidR="00447D57">
        <w:rPr>
          <w:rFonts w:asciiTheme="minorHAnsi" w:hAnsiTheme="minorHAnsi" w:cstheme="minorHAnsi"/>
          <w:bCs/>
          <w:sz w:val="22"/>
          <w:szCs w:val="22"/>
        </w:rPr>
        <w:t xml:space="preserve">. RSC Adv., 6, </w:t>
      </w:r>
      <w:r w:rsidR="00447D57" w:rsidRPr="00447D57">
        <w:rPr>
          <w:rFonts w:asciiTheme="minorHAnsi" w:hAnsiTheme="minorHAnsi" w:cstheme="minorHAnsi"/>
          <w:bCs/>
          <w:sz w:val="22"/>
          <w:szCs w:val="22"/>
        </w:rPr>
        <w:t>69465-69478</w:t>
      </w:r>
    </w:p>
    <w:p w14:paraId="5C1A691E" w14:textId="617CC953" w:rsidR="00954DCF" w:rsidRPr="00CB2F21" w:rsidRDefault="003F5C7F" w:rsidP="00B72890">
      <w:pPr>
        <w:numPr>
          <w:ilvl w:val="0"/>
          <w:numId w:val="1"/>
        </w:numPr>
        <w:shd w:val="clear" w:color="auto" w:fill="FFFFFF"/>
        <w:ind w:left="284" w:right="282" w:hanging="284"/>
        <w:jc w:val="both"/>
        <w:textAlignment w:val="top"/>
        <w:rPr>
          <w:rFonts w:ascii="Calibri" w:hAnsi="Calibri" w:cs="Calibri"/>
          <w:sz w:val="22"/>
          <w:szCs w:val="22"/>
          <w:lang w:val="en-AU"/>
        </w:rPr>
      </w:pPr>
      <w:r w:rsidRPr="00CB2F21">
        <w:rPr>
          <w:rFonts w:asciiTheme="minorHAnsi" w:hAnsiTheme="minorHAnsi" w:cstheme="minorHAnsi"/>
          <w:bCs/>
          <w:sz w:val="22"/>
          <w:szCs w:val="22"/>
        </w:rPr>
        <w:t xml:space="preserve">Mitter, N., Worrall, E. A., Robinson, K. E., Li, P., Jain, R. G., </w:t>
      </w:r>
      <w:proofErr w:type="spellStart"/>
      <w:r w:rsidRPr="00CB2F21">
        <w:rPr>
          <w:rFonts w:asciiTheme="minorHAnsi" w:hAnsiTheme="minorHAnsi" w:cstheme="minorHAnsi"/>
          <w:bCs/>
          <w:sz w:val="22"/>
          <w:szCs w:val="22"/>
        </w:rPr>
        <w:t>Taochy</w:t>
      </w:r>
      <w:proofErr w:type="spellEnd"/>
      <w:r w:rsidRPr="00CB2F21">
        <w:rPr>
          <w:rFonts w:asciiTheme="minorHAnsi" w:hAnsiTheme="minorHAnsi" w:cstheme="minorHAnsi"/>
          <w:bCs/>
          <w:sz w:val="22"/>
          <w:szCs w:val="22"/>
        </w:rPr>
        <w:t xml:space="preserve">, C., Fletcher, S. J., Carroll, B. J., Lu, G. Q., Xu, Z. P., (2017). Clay nanosheets for topical delivery of RNAi for sustained protection against plant viruses. Nat. Plant., 3, </w:t>
      </w:r>
      <w:r w:rsidR="00D07845">
        <w:rPr>
          <w:rFonts w:asciiTheme="minorHAnsi" w:hAnsiTheme="minorHAnsi" w:cstheme="minorHAnsi"/>
          <w:bCs/>
          <w:sz w:val="22"/>
          <w:szCs w:val="22"/>
        </w:rPr>
        <w:t>16207</w:t>
      </w:r>
    </w:p>
    <w:sectPr w:rsidR="00954DCF" w:rsidRPr="00CB2F21" w:rsidSect="000A6D19">
      <w:footerReference w:type="default" r:id="rId9"/>
      <w:pgSz w:w="11906" w:h="16838" w:code="9"/>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05DFF" w14:textId="77777777" w:rsidR="00152F0A" w:rsidRDefault="00152F0A" w:rsidP="00A61DE7">
      <w:r>
        <w:separator/>
      </w:r>
    </w:p>
  </w:endnote>
  <w:endnote w:type="continuationSeparator" w:id="0">
    <w:p w14:paraId="34FB1360" w14:textId="77777777" w:rsidR="00152F0A" w:rsidRDefault="00152F0A" w:rsidP="00A6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ABF96" w14:textId="557C0574" w:rsidR="00A61DE7" w:rsidRPr="009B0C03" w:rsidRDefault="009B0C03">
    <w:pPr>
      <w:pStyle w:val="Footer"/>
      <w:rPr>
        <w:rFonts w:asciiTheme="minorHAnsi" w:hAnsiTheme="minorHAnsi" w:cstheme="minorHAnsi"/>
        <w:sz w:val="22"/>
        <w:szCs w:val="22"/>
      </w:rPr>
    </w:pPr>
    <w:r>
      <w:rPr>
        <w:rFonts w:asciiTheme="minorHAnsi" w:hAnsiTheme="minorHAnsi" w:cstheme="minorHAnsi"/>
        <w:sz w:val="22"/>
        <w:szCs w:val="22"/>
      </w:rPr>
      <w:t xml:space="preserve">Corresponding emails: </w:t>
    </w:r>
    <w:r w:rsidRPr="009B0C03">
      <w:rPr>
        <w:rFonts w:asciiTheme="minorHAnsi" w:hAnsiTheme="minorHAnsi" w:cstheme="minorHAnsi"/>
        <w:sz w:val="22"/>
        <w:szCs w:val="22"/>
      </w:rPr>
      <w:t>gordonxu@uq.edu.au</w:t>
    </w:r>
    <w:r>
      <w:rPr>
        <w:rFonts w:asciiTheme="minorHAnsi" w:hAnsiTheme="minorHAnsi" w:cstheme="minorHAnsi"/>
        <w:sz w:val="22"/>
        <w:szCs w:val="22"/>
      </w:rPr>
      <w:t xml:space="preserve">; </w:t>
    </w:r>
    <w:r w:rsidR="00A61DE7">
      <w:rPr>
        <w:rFonts w:asciiTheme="minorHAnsi" w:hAnsiTheme="minorHAnsi" w:cstheme="minorHAnsi"/>
        <w:sz w:val="22"/>
        <w:szCs w:val="22"/>
      </w:rPr>
      <w:t>n.mitter@uq.edu.au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128FC" w14:textId="77777777" w:rsidR="00152F0A" w:rsidRDefault="00152F0A" w:rsidP="00A61DE7">
      <w:r>
        <w:separator/>
      </w:r>
    </w:p>
  </w:footnote>
  <w:footnote w:type="continuationSeparator" w:id="0">
    <w:p w14:paraId="6700D028" w14:textId="77777777" w:rsidR="00152F0A" w:rsidRDefault="00152F0A" w:rsidP="00A61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trackRevisions/>
  <w:defaultTabStop w:val="720"/>
  <w:drawingGridHorizontalSpacing w:val="57"/>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02504"/>
    <w:rsid w:val="0003718B"/>
    <w:rsid w:val="0004118E"/>
    <w:rsid w:val="00045573"/>
    <w:rsid w:val="000A6D19"/>
    <w:rsid w:val="001231E6"/>
    <w:rsid w:val="00152F0A"/>
    <w:rsid w:val="001A21AD"/>
    <w:rsid w:val="001F703F"/>
    <w:rsid w:val="002078AD"/>
    <w:rsid w:val="002226BB"/>
    <w:rsid w:val="00225236"/>
    <w:rsid w:val="002272B0"/>
    <w:rsid w:val="0024090F"/>
    <w:rsid w:val="00300B92"/>
    <w:rsid w:val="0030585E"/>
    <w:rsid w:val="00387491"/>
    <w:rsid w:val="003D0410"/>
    <w:rsid w:val="003F5C7F"/>
    <w:rsid w:val="00405023"/>
    <w:rsid w:val="00447188"/>
    <w:rsid w:val="00447D57"/>
    <w:rsid w:val="00483B05"/>
    <w:rsid w:val="00494500"/>
    <w:rsid w:val="004E28B9"/>
    <w:rsid w:val="004E5450"/>
    <w:rsid w:val="005226A8"/>
    <w:rsid w:val="0055229D"/>
    <w:rsid w:val="00562D19"/>
    <w:rsid w:val="00576209"/>
    <w:rsid w:val="0059609A"/>
    <w:rsid w:val="00597659"/>
    <w:rsid w:val="005E48A2"/>
    <w:rsid w:val="005F19FF"/>
    <w:rsid w:val="00641190"/>
    <w:rsid w:val="006448F3"/>
    <w:rsid w:val="00692DA6"/>
    <w:rsid w:val="006B3866"/>
    <w:rsid w:val="00711813"/>
    <w:rsid w:val="007125A3"/>
    <w:rsid w:val="007227E2"/>
    <w:rsid w:val="00724E3C"/>
    <w:rsid w:val="00743C46"/>
    <w:rsid w:val="007C3C6F"/>
    <w:rsid w:val="00884015"/>
    <w:rsid w:val="008909C9"/>
    <w:rsid w:val="008F2E3E"/>
    <w:rsid w:val="00947B77"/>
    <w:rsid w:val="00954DCF"/>
    <w:rsid w:val="00997C34"/>
    <w:rsid w:val="009A4CFF"/>
    <w:rsid w:val="009B0C03"/>
    <w:rsid w:val="009B2641"/>
    <w:rsid w:val="009E13CE"/>
    <w:rsid w:val="009E2228"/>
    <w:rsid w:val="009F06D6"/>
    <w:rsid w:val="00A266B4"/>
    <w:rsid w:val="00A61DE7"/>
    <w:rsid w:val="00B77462"/>
    <w:rsid w:val="00B80715"/>
    <w:rsid w:val="00BC5FCC"/>
    <w:rsid w:val="00C60A71"/>
    <w:rsid w:val="00CB2F21"/>
    <w:rsid w:val="00CB5C4B"/>
    <w:rsid w:val="00CC165A"/>
    <w:rsid w:val="00D07845"/>
    <w:rsid w:val="00D55F3B"/>
    <w:rsid w:val="00DA2731"/>
    <w:rsid w:val="00DB4497"/>
    <w:rsid w:val="00DC0ABB"/>
    <w:rsid w:val="00DF1C8E"/>
    <w:rsid w:val="00EE0E73"/>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2">
    <w:name w:val="heading 2"/>
    <w:basedOn w:val="Normal"/>
    <w:next w:val="Normal"/>
    <w:link w:val="Heading2Char"/>
    <w:uiPriority w:val="9"/>
    <w:semiHidden/>
    <w:unhideWhenUsed/>
    <w:qFormat/>
    <w:rsid w:val="00447D5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character" w:customStyle="1" w:styleId="Heading2Char">
    <w:name w:val="Heading 2 Char"/>
    <w:basedOn w:val="DefaultParagraphFont"/>
    <w:link w:val="Heading2"/>
    <w:uiPriority w:val="9"/>
    <w:semiHidden/>
    <w:rsid w:val="00447D57"/>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A61DE7"/>
    <w:pPr>
      <w:tabs>
        <w:tab w:val="center" w:pos="4513"/>
        <w:tab w:val="right" w:pos="9026"/>
      </w:tabs>
    </w:pPr>
  </w:style>
  <w:style w:type="character" w:customStyle="1" w:styleId="HeaderChar">
    <w:name w:val="Header Char"/>
    <w:basedOn w:val="DefaultParagraphFont"/>
    <w:link w:val="Header"/>
    <w:uiPriority w:val="99"/>
    <w:rsid w:val="00A61DE7"/>
    <w:rPr>
      <w:sz w:val="24"/>
      <w:szCs w:val="24"/>
      <w:lang w:val="en-US"/>
    </w:rPr>
  </w:style>
  <w:style w:type="paragraph" w:styleId="Footer">
    <w:name w:val="footer"/>
    <w:basedOn w:val="Normal"/>
    <w:link w:val="FooterChar"/>
    <w:uiPriority w:val="99"/>
    <w:unhideWhenUsed/>
    <w:rsid w:val="00A61DE7"/>
    <w:pPr>
      <w:tabs>
        <w:tab w:val="center" w:pos="4513"/>
        <w:tab w:val="right" w:pos="9026"/>
      </w:tabs>
    </w:pPr>
  </w:style>
  <w:style w:type="character" w:customStyle="1" w:styleId="FooterChar">
    <w:name w:val="Footer Char"/>
    <w:basedOn w:val="DefaultParagraphFont"/>
    <w:link w:val="Footer"/>
    <w:uiPriority w:val="99"/>
    <w:rsid w:val="00A61DE7"/>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812484">
      <w:bodyDiv w:val="1"/>
      <w:marLeft w:val="0"/>
      <w:marRight w:val="0"/>
      <w:marTop w:val="0"/>
      <w:marBottom w:val="0"/>
      <w:divBdr>
        <w:top w:val="none" w:sz="0" w:space="0" w:color="auto"/>
        <w:left w:val="none" w:sz="0" w:space="0" w:color="auto"/>
        <w:bottom w:val="none" w:sz="0" w:space="0" w:color="auto"/>
        <w:right w:val="none" w:sz="0" w:space="0" w:color="auto"/>
      </w:divBdr>
    </w:div>
    <w:div w:id="778183205">
      <w:bodyDiv w:val="1"/>
      <w:marLeft w:val="0"/>
      <w:marRight w:val="0"/>
      <w:marTop w:val="0"/>
      <w:marBottom w:val="0"/>
      <w:divBdr>
        <w:top w:val="none" w:sz="0" w:space="0" w:color="auto"/>
        <w:left w:val="none" w:sz="0" w:space="0" w:color="auto"/>
        <w:bottom w:val="none" w:sz="0" w:space="0" w:color="auto"/>
        <w:right w:val="none" w:sz="0" w:space="0" w:color="auto"/>
      </w:divBdr>
    </w:div>
    <w:div w:id="907032651">
      <w:bodyDiv w:val="1"/>
      <w:marLeft w:val="0"/>
      <w:marRight w:val="0"/>
      <w:marTop w:val="0"/>
      <w:marBottom w:val="0"/>
      <w:divBdr>
        <w:top w:val="none" w:sz="0" w:space="0" w:color="auto"/>
        <w:left w:val="none" w:sz="0" w:space="0" w:color="auto"/>
        <w:bottom w:val="none" w:sz="0" w:space="0" w:color="auto"/>
        <w:right w:val="none" w:sz="0" w:space="0" w:color="auto"/>
      </w:divBdr>
    </w:div>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1366717233">
      <w:bodyDiv w:val="1"/>
      <w:marLeft w:val="0"/>
      <w:marRight w:val="0"/>
      <w:marTop w:val="0"/>
      <w:marBottom w:val="0"/>
      <w:divBdr>
        <w:top w:val="none" w:sz="0" w:space="0" w:color="auto"/>
        <w:left w:val="none" w:sz="0" w:space="0" w:color="auto"/>
        <w:bottom w:val="none" w:sz="0" w:space="0" w:color="auto"/>
        <w:right w:val="none" w:sz="0" w:space="0" w:color="auto"/>
      </w:divBdr>
    </w:div>
    <w:div w:id="1569418828">
      <w:bodyDiv w:val="1"/>
      <w:marLeft w:val="0"/>
      <w:marRight w:val="0"/>
      <w:marTop w:val="0"/>
      <w:marBottom w:val="0"/>
      <w:divBdr>
        <w:top w:val="none" w:sz="0" w:space="0" w:color="auto"/>
        <w:left w:val="none" w:sz="0" w:space="0" w:color="auto"/>
        <w:bottom w:val="none" w:sz="0" w:space="0" w:color="auto"/>
        <w:right w:val="none" w:sz="0" w:space="0" w:color="auto"/>
      </w:divBdr>
    </w:div>
    <w:div w:id="2052805656">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565-019-0464-4" TargetMode="External"/><Relationship Id="rId3" Type="http://schemas.openxmlformats.org/officeDocument/2006/relationships/settings" Target="settings.xml"/><Relationship Id="rId7" Type="http://schemas.openxmlformats.org/officeDocument/2006/relationships/hyperlink" Target="https://www.nature.com/articles/s41565-019-04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3274</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Peng Li</cp:lastModifiedBy>
  <cp:revision>9</cp:revision>
  <cp:lastPrinted>2013-06-13T05:15:00Z</cp:lastPrinted>
  <dcterms:created xsi:type="dcterms:W3CDTF">2019-09-01T11:30:00Z</dcterms:created>
  <dcterms:modified xsi:type="dcterms:W3CDTF">2019-09-02T03:24:00Z</dcterms:modified>
</cp:coreProperties>
</file>