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E762D" w14:textId="0D7B16B4" w:rsidR="009D6DFA" w:rsidRDefault="00000000">
      <w:r>
        <w:rPr>
          <w:b/>
        </w:rPr>
        <w:t>Determining the Optimal Dosing of Methyldopa in Pregnancy-Induced Hypertension Using PBPK-</w:t>
      </w:r>
      <w:r w:rsidR="00E46970">
        <w:rPr>
          <w:b/>
        </w:rPr>
        <w:t xml:space="preserve"> </w:t>
      </w:r>
      <w:r>
        <w:rPr>
          <w:b/>
        </w:rPr>
        <w:t>PD Modeling</w:t>
      </w:r>
    </w:p>
    <w:p w14:paraId="3F58827A" w14:textId="60810099" w:rsidR="009D6DFA" w:rsidRDefault="00000000">
      <w:r w:rsidRPr="004060ED">
        <w:rPr>
          <w:u w:val="single"/>
        </w:rPr>
        <w:t>Xinyang Liu¹</w:t>
      </w:r>
      <w:r>
        <w:t>, Defang Ouyang</w:t>
      </w:r>
      <w:proofErr w:type="gramStart"/>
      <w:r>
        <w:t>¹,*</w:t>
      </w:r>
      <w:proofErr w:type="gramEnd"/>
    </w:p>
    <w:p w14:paraId="41924BE6" w14:textId="77777777" w:rsidR="009D6DFA" w:rsidRDefault="00000000">
      <w:r>
        <w:t>1State Key Laboratory of Quality Research in Chinese Medicine, Institute of Chinese Medical Sciences (ICMS), University of Macau, Macau, China</w:t>
      </w:r>
    </w:p>
    <w:p w14:paraId="5BB65584" w14:textId="2D3C1D68" w:rsidR="004060ED" w:rsidRPr="009D6FAC" w:rsidRDefault="004060ED" w:rsidP="004060ED">
      <w:pPr>
        <w:rPr>
          <w:rFonts w:cs="Times New Roman"/>
          <w:b/>
          <w:bCs/>
          <w:color w:val="000000" w:themeColor="text1"/>
          <w:szCs w:val="21"/>
        </w:rPr>
      </w:pPr>
      <w:r w:rsidRPr="009D6FAC">
        <w:rPr>
          <w:rFonts w:cs="Times New Roman"/>
          <w:b/>
          <w:bCs/>
          <w:color w:val="000000" w:themeColor="text1"/>
          <w:szCs w:val="21"/>
        </w:rPr>
        <w:t xml:space="preserve">Background: </w:t>
      </w:r>
      <w:r w:rsidRPr="009D6FAC">
        <w:rPr>
          <w:rFonts w:cs="Times New Roman"/>
          <w:color w:val="000000" w:themeColor="text1"/>
          <w:szCs w:val="21"/>
        </w:rPr>
        <w:t>Pregnancy-induced hypertension is a significant risk factor for adverse maternal and fetal outcomes, with methyldopa being a commonly prescribed antihypertensive for its safety profile</w:t>
      </w:r>
      <w:r>
        <w:rPr>
          <w:rFonts w:cs="Times New Roman"/>
        </w:rPr>
        <w:fldChar w:fldCharType="begin"/>
      </w:r>
      <w:r>
        <w:rPr>
          <w:rFonts w:cs="Times New Roman"/>
        </w:rPr>
        <w:instrText xml:space="preserve"> ADDIN ZOTERO_ITEM CSL_CITATION {"citationID":"ubdaVLrQ","properties":{"formattedCitation":"[1,2]","plainCitation":"[1,2]","noteIndex":0},"citationItems":[{"id":1882,"uris":["http://zotero.org/users/10151856/items/5BLCPZWR"],"itemData":{"id":1882,"type":"article-journal","abstract":"BACKGROUND: Disorders of pregnancy induced hypertensive are a major health problem in the obstetric population as they are one of the leading causes of maternal and perinatal morbidity and mortality. The World Health Organization estimates that at least one woman dies every seven minutes from complications of hypertensive disorders of pregnancy. The objective of this study is to assess pregnancy induced hypertension and its associated factors among women attending delivery service at Mizan-Tepi University Teaching Hospital, Gebretsadikshawo Hospital and Tepi General Hospital.\nMETHODS: A health facility based cross-sectional study was carried out from October 01 to November 30/2016. The total sample size (422) was proportionally allocated to the three hospitals. Systematic sampling technique was used to select study participants. Variables with p-value of less than 0.25 in binary logistic regression were entered into the multivariable logistic regression to control cofounding. Odds ratio with 95% confidence interval was used. P-value less than 0.05 was considered as statistically significant.\nRESULTS: The prevalence of pregnancy induced hypertension was 33(7.9%); of which 5(15.2%) were gestational hypertension, 12 (36.4%) were mild preeclampsia, 15(45.5%) were severe preeclampsia and 1 (3%) eclampsia. Positive family history of pregnancy induced hypertension [AOR5.25 (1.39-19.86)], kidney diseases (AOR 3.32(1.04-10.58)), having asthma [AOR 37.95(1.411021)] and gestational age (AOR 0.096(0.04-.23)) were predictors of pregnancy induced hypertension.\nCONCLUSION: The prevalence of pregnancy induced hypertension among women attending delivery service was 7.9%. Having family history of pregnancy induced hypertension, chronic kidney diseases and gestational age were predictors of pregnancy induced hypertension.","container-title":"Ethiopian Journal of Health Sciences","DOI":"10.4314/ejhs.v29i1.4","ISSN":"1029-1857, 1029-1857","issue":"1","journalAbbreviation":"Ethiop J Health Sci","language":"en","source":"DOI.org (Crossref)","title":"Pregnancy Induced Hypertension and Associated Factors among Women Attending Delivery Service at Mizan-Tepi University Teaching Hospital, Tepi General Hospital and Gebretsadik Shawo Hospital, Southwest, Ethiopia","URL":"https://www.ajol.info/index.php/ejhs/article/view/187185","volume":"29","author":[{"family":"Gudeta","given":"Tesfaye Abera"},{"family":"Regassa","given":"Tilahun Mekonnen"}],"accessed":{"date-parts":[["2024",9,22]]},"issued":{"date-parts":[["1970",1,1]]}},"label":"page"},{"id":1884,"uris":["http://zotero.org/users/10151856/items/Q5GR3U2A"],"itemData":{"id":1884,"type":"article-journal","container-title":"Cardiology Clinics","DOI":"10.1016/j.ccl.2020.09.005","ISSN":"07338651","issue":"1","journalAbbreviation":"Cardiology Clinics","language":"en","page":"77-90","source":"DOI.org (Crossref)","title":"Hypertensive Disorders of Pregnancy","URL":"https://linkinghub.elsevier.com/retrieve/pii/S0733865120300825","volume":"39","author":[{"family":"Khedagi","given":"Apurva M."},{"family":"Bello","given":"Natalie A."}],"accessed":{"date-parts":[["2024",9,22]]},"issued":{"date-parts":[["2021",2]]}},"label":"page"}],"schema":"https://github.com/citation-style-language/schema/raw/master/csl-citation.json"} </w:instrText>
      </w:r>
      <w:r>
        <w:rPr>
          <w:rFonts w:cs="Times New Roman"/>
        </w:rPr>
        <w:fldChar w:fldCharType="separate"/>
      </w:r>
      <w:r w:rsidRPr="00F4208C">
        <w:rPr>
          <w:rFonts w:cs="Times New Roman" w:hint="eastAsia"/>
        </w:rPr>
        <w:t>[1,2]</w:t>
      </w:r>
      <w:r>
        <w:rPr>
          <w:rFonts w:cs="Times New Roman"/>
        </w:rPr>
        <w:fldChar w:fldCharType="end"/>
      </w:r>
      <w:r w:rsidRPr="009D6FAC">
        <w:rPr>
          <w:rFonts w:cs="Times New Roman"/>
          <w:color w:val="000000" w:themeColor="text1"/>
          <w:szCs w:val="21"/>
        </w:rPr>
        <w:t>. However, the physiological changes during pregnancy may alter methyldopa's pharmacokinetics and pharmacodynamics, complicating the establishment of optimal dosing regimens.</w:t>
      </w:r>
    </w:p>
    <w:p w14:paraId="7CFB9765" w14:textId="3D7D1BBD" w:rsidR="004060ED" w:rsidRPr="004060ED" w:rsidRDefault="004060ED" w:rsidP="004060ED">
      <w:pPr>
        <w:rPr>
          <w:rFonts w:cs="Times New Roman"/>
          <w:b/>
          <w:bCs/>
          <w:color w:val="000000" w:themeColor="text1"/>
          <w:szCs w:val="21"/>
        </w:rPr>
      </w:pPr>
      <w:r w:rsidRPr="009D6FAC">
        <w:rPr>
          <w:rFonts w:cs="Times New Roman"/>
          <w:b/>
          <w:bCs/>
          <w:color w:val="000000" w:themeColor="text1"/>
          <w:szCs w:val="21"/>
        </w:rPr>
        <w:t xml:space="preserve">Objective: </w:t>
      </w:r>
      <w:r w:rsidRPr="009D6FAC">
        <w:rPr>
          <w:rFonts w:cs="Times New Roman"/>
          <w:color w:val="000000" w:themeColor="text1"/>
          <w:szCs w:val="21"/>
        </w:rPr>
        <w:t xml:space="preserve">This study aims to develop and validate a pregnancy-specific </w:t>
      </w:r>
      <w:r w:rsidRPr="004060ED">
        <w:rPr>
          <w:rFonts w:cs="Times New Roman"/>
          <w:color w:val="000000" w:themeColor="text1"/>
          <w:szCs w:val="21"/>
        </w:rPr>
        <w:t>PBPK</w:t>
      </w:r>
      <w:r w:rsidRPr="004060ED">
        <w:rPr>
          <w:rFonts w:cs="Times New Roman" w:hint="eastAsia"/>
          <w:color w:val="000000" w:themeColor="text1"/>
          <w:szCs w:val="21"/>
        </w:rPr>
        <w:t>-</w:t>
      </w:r>
      <w:r w:rsidR="00E46970" w:rsidRPr="004060ED">
        <w:rPr>
          <w:rFonts w:cs="Times New Roman"/>
          <w:color w:val="000000" w:themeColor="text1"/>
          <w:szCs w:val="21"/>
        </w:rPr>
        <w:t xml:space="preserve"> </w:t>
      </w:r>
      <w:r w:rsidRPr="004060ED">
        <w:rPr>
          <w:rFonts w:cs="Times New Roman"/>
          <w:color w:val="000000" w:themeColor="text1"/>
          <w:szCs w:val="21"/>
        </w:rPr>
        <w:t xml:space="preserve">PD model for methyldopa to optimize dosing strategies and support individualized treatment plans for managing pregnancy-induced hypertension effectively. </w:t>
      </w:r>
    </w:p>
    <w:p w14:paraId="5AEBF3DA" w14:textId="421AEEDA" w:rsidR="004060ED" w:rsidRPr="004060ED" w:rsidRDefault="004060ED" w:rsidP="004060ED">
      <w:pPr>
        <w:rPr>
          <w:rFonts w:cs="Times New Roman"/>
          <w:color w:val="000000" w:themeColor="text1"/>
          <w:szCs w:val="21"/>
        </w:rPr>
      </w:pPr>
      <w:r w:rsidRPr="004060ED">
        <w:rPr>
          <w:rFonts w:cs="Times New Roman"/>
          <w:b/>
          <w:bCs/>
          <w:color w:val="000000" w:themeColor="text1"/>
          <w:szCs w:val="21"/>
        </w:rPr>
        <w:t>Methods:</w:t>
      </w:r>
      <w:r w:rsidRPr="004060ED">
        <w:rPr>
          <w:rFonts w:cs="Times New Roman"/>
          <w:color w:val="000000" w:themeColor="text1"/>
          <w:szCs w:val="21"/>
        </w:rPr>
        <w:t xml:space="preserve"> The PBPK</w:t>
      </w:r>
      <w:r w:rsidRPr="004060ED">
        <w:rPr>
          <w:rFonts w:cs="Times New Roman" w:hint="eastAsia"/>
          <w:color w:val="000000" w:themeColor="text1"/>
          <w:szCs w:val="21"/>
        </w:rPr>
        <w:t>-</w:t>
      </w:r>
      <w:r w:rsidR="00E46970" w:rsidRPr="004060ED">
        <w:rPr>
          <w:rFonts w:cs="Times New Roman"/>
          <w:color w:val="000000" w:themeColor="text1"/>
          <w:szCs w:val="21"/>
        </w:rPr>
        <w:t xml:space="preserve"> </w:t>
      </w:r>
      <w:r w:rsidRPr="004060ED">
        <w:rPr>
          <w:rFonts w:cs="Times New Roman"/>
          <w:color w:val="000000" w:themeColor="text1"/>
          <w:szCs w:val="21"/>
        </w:rPr>
        <w:t xml:space="preserve">PD model for methyldopa was developed using PK-Sim, </w:t>
      </w:r>
      <w:proofErr w:type="spellStart"/>
      <w:r w:rsidRPr="004060ED">
        <w:rPr>
          <w:rFonts w:cs="Times New Roman"/>
          <w:color w:val="000000" w:themeColor="text1"/>
          <w:szCs w:val="21"/>
        </w:rPr>
        <w:t>MoBi</w:t>
      </w:r>
      <w:proofErr w:type="spellEnd"/>
      <w:r w:rsidRPr="004060ED">
        <w:rPr>
          <w:rFonts w:cs="Times New Roman"/>
          <w:color w:val="000000" w:themeColor="text1"/>
          <w:szCs w:val="21"/>
        </w:rPr>
        <w:t>, and MATLAB software, incorporating pregnancy-specific physiological parameters from the literature</w:t>
      </w:r>
      <w:r w:rsidR="004334B4">
        <w:rPr>
          <w:rFonts w:cs="Times New Roman"/>
          <w:color w:val="000000" w:themeColor="text1"/>
          <w:szCs w:val="21"/>
        </w:rPr>
        <w:t xml:space="preserve"> (figure 1)</w:t>
      </w:r>
      <w:r w:rsidRPr="004060ED">
        <w:rPr>
          <w:rFonts w:cs="Times New Roman"/>
          <w:color w:val="000000" w:themeColor="text1"/>
          <w:szCs w:val="21"/>
        </w:rPr>
        <w:t xml:space="preserve">. The development process involved: first, constructing and validating a PBPK model for non-pregnant individuals based on intravenous and oral administration, including renal clearance, serum clearance, and enzyme clearance; second, extending the model to a pregnant PBPK model and validating it for oral administration; third, constructing a PK/PD model using the maximum effect model; and </w:t>
      </w:r>
      <w:r w:rsidRPr="004060ED">
        <w:rPr>
          <w:rFonts w:cs="Times New Roman" w:hint="eastAsia"/>
          <w:color w:val="000000" w:themeColor="text1"/>
          <w:szCs w:val="21"/>
        </w:rPr>
        <w:t>then</w:t>
      </w:r>
      <w:r w:rsidRPr="004060ED">
        <w:rPr>
          <w:rFonts w:cs="Times New Roman"/>
          <w:color w:val="000000" w:themeColor="text1"/>
          <w:szCs w:val="21"/>
        </w:rPr>
        <w:t>, integrating the PBPK and PK/PD models to form a unified PBPK</w:t>
      </w:r>
      <w:r w:rsidRPr="004060ED">
        <w:rPr>
          <w:rFonts w:cs="Times New Roman" w:hint="eastAsia"/>
          <w:color w:val="000000" w:themeColor="text1"/>
          <w:szCs w:val="21"/>
        </w:rPr>
        <w:t>-</w:t>
      </w:r>
      <w:r w:rsidR="00E46970" w:rsidRPr="004060ED">
        <w:rPr>
          <w:rFonts w:cs="Times New Roman"/>
          <w:color w:val="000000" w:themeColor="text1"/>
          <w:szCs w:val="21"/>
        </w:rPr>
        <w:t xml:space="preserve"> </w:t>
      </w:r>
      <w:r w:rsidRPr="004060ED">
        <w:rPr>
          <w:rFonts w:cs="Times New Roman"/>
          <w:color w:val="000000" w:themeColor="text1"/>
          <w:szCs w:val="21"/>
        </w:rPr>
        <w:t xml:space="preserve">PD model. This model was then used to simulate </w:t>
      </w:r>
      <w:r w:rsidRPr="004060ED">
        <w:rPr>
          <w:rFonts w:eastAsia="仿宋" w:cs="Times New Roman" w:hint="eastAsia"/>
          <w:color w:val="000000" w:themeColor="text1"/>
          <w:szCs w:val="21"/>
        </w:rPr>
        <w:t>m</w:t>
      </w:r>
      <w:r w:rsidRPr="004060ED">
        <w:rPr>
          <w:rFonts w:eastAsia="仿宋" w:cs="Times New Roman"/>
          <w:color w:val="000000" w:themeColor="text1"/>
          <w:szCs w:val="21"/>
        </w:rPr>
        <w:t xml:space="preserve">ean </w:t>
      </w:r>
      <w:r w:rsidRPr="004060ED">
        <w:rPr>
          <w:rFonts w:eastAsia="仿宋" w:cs="Times New Roman" w:hint="eastAsia"/>
          <w:color w:val="000000" w:themeColor="text1"/>
          <w:szCs w:val="21"/>
        </w:rPr>
        <w:t>a</w:t>
      </w:r>
      <w:r w:rsidRPr="004060ED">
        <w:rPr>
          <w:rFonts w:eastAsia="仿宋" w:cs="Times New Roman"/>
          <w:color w:val="000000" w:themeColor="text1"/>
          <w:szCs w:val="21"/>
        </w:rPr>
        <w:t xml:space="preserve">rterial </w:t>
      </w:r>
      <w:r w:rsidRPr="004060ED">
        <w:rPr>
          <w:rFonts w:eastAsia="仿宋" w:cs="Times New Roman" w:hint="eastAsia"/>
          <w:color w:val="000000" w:themeColor="text1"/>
          <w:szCs w:val="21"/>
        </w:rPr>
        <w:t>p</w:t>
      </w:r>
      <w:r w:rsidRPr="004060ED">
        <w:rPr>
          <w:rFonts w:eastAsia="仿宋" w:cs="Times New Roman"/>
          <w:color w:val="000000" w:themeColor="text1"/>
          <w:szCs w:val="21"/>
        </w:rPr>
        <w:t>ressure</w:t>
      </w:r>
      <w:r w:rsidRPr="004060ED">
        <w:rPr>
          <w:rFonts w:cs="Times New Roman" w:hint="eastAsia"/>
          <w:color w:val="000000" w:themeColor="text1"/>
          <w:szCs w:val="21"/>
        </w:rPr>
        <w:t xml:space="preserve"> (MAP)</w:t>
      </w:r>
      <w:r w:rsidRPr="004060ED">
        <w:rPr>
          <w:rFonts w:cs="Times New Roman"/>
          <w:color w:val="000000" w:themeColor="text1"/>
          <w:szCs w:val="21"/>
        </w:rPr>
        <w:t xml:space="preserve"> responses across different stages of pregnancy.</w:t>
      </w:r>
      <w:r w:rsidRPr="004060ED">
        <w:rPr>
          <w:color w:val="000000" w:themeColor="text1"/>
        </w:rPr>
        <w:t xml:space="preserve"> </w:t>
      </w:r>
      <w:r w:rsidRPr="004060ED">
        <w:rPr>
          <w:rFonts w:cs="Times New Roman"/>
          <w:color w:val="000000" w:themeColor="text1"/>
          <w:szCs w:val="21"/>
        </w:rPr>
        <w:t>Finally, the optimal dosing regimen was calculated.</w:t>
      </w:r>
    </w:p>
    <w:p w14:paraId="28F6DD45" w14:textId="170AFBA0" w:rsidR="004060ED" w:rsidRPr="004060ED" w:rsidRDefault="004060ED" w:rsidP="004060ED">
      <w:pPr>
        <w:rPr>
          <w:rFonts w:cs="Times New Roman"/>
          <w:color w:val="000000" w:themeColor="text1"/>
          <w:szCs w:val="21"/>
        </w:rPr>
      </w:pPr>
      <w:r w:rsidRPr="004060ED">
        <w:rPr>
          <w:rFonts w:cs="Times New Roman"/>
          <w:b/>
          <w:bCs/>
          <w:color w:val="000000" w:themeColor="text1"/>
          <w:szCs w:val="21"/>
        </w:rPr>
        <w:t>Results:</w:t>
      </w:r>
      <w:r w:rsidRPr="004060ED">
        <w:rPr>
          <w:rFonts w:cs="Times New Roman"/>
          <w:color w:val="000000" w:themeColor="text1"/>
          <w:szCs w:val="21"/>
        </w:rPr>
        <w:t xml:space="preserve"> The model </w:t>
      </w:r>
      <w:r w:rsidRPr="004060ED">
        <w:rPr>
          <w:rFonts w:cs="Times New Roman" w:hint="eastAsia"/>
          <w:color w:val="000000" w:themeColor="text1"/>
          <w:szCs w:val="21"/>
        </w:rPr>
        <w:t>verification</w:t>
      </w:r>
      <w:r w:rsidRPr="004060ED">
        <w:rPr>
          <w:rFonts w:cs="Times New Roman"/>
          <w:color w:val="000000" w:themeColor="text1"/>
          <w:szCs w:val="21"/>
        </w:rPr>
        <w:t xml:space="preserve"> results show a good fit, indicating that the parameters are appropriate.</w:t>
      </w:r>
      <w:r w:rsidRPr="004060ED">
        <w:rPr>
          <w:rFonts w:cs="Times New Roman" w:hint="eastAsia"/>
          <w:color w:val="000000" w:themeColor="text1"/>
          <w:szCs w:val="21"/>
        </w:rPr>
        <w:t xml:space="preserve"> T</w:t>
      </w:r>
      <w:r w:rsidRPr="004060ED">
        <w:rPr>
          <w:rFonts w:cs="Times New Roman"/>
          <w:color w:val="000000" w:themeColor="text1"/>
          <w:szCs w:val="21"/>
        </w:rPr>
        <w:t>he pregnancy model indicated no significant change in PST activity during pregnancy. The PBPK</w:t>
      </w:r>
      <w:r w:rsidRPr="004060ED">
        <w:rPr>
          <w:rFonts w:cs="Times New Roman" w:hint="eastAsia"/>
          <w:color w:val="000000" w:themeColor="text1"/>
          <w:szCs w:val="21"/>
        </w:rPr>
        <w:t>-</w:t>
      </w:r>
      <w:r w:rsidR="00E46970" w:rsidRPr="004060ED">
        <w:rPr>
          <w:rFonts w:cs="Times New Roman"/>
          <w:color w:val="000000" w:themeColor="text1"/>
          <w:szCs w:val="21"/>
        </w:rPr>
        <w:t xml:space="preserve"> </w:t>
      </w:r>
      <w:r w:rsidRPr="004060ED">
        <w:rPr>
          <w:rFonts w:cs="Times New Roman"/>
          <w:color w:val="000000" w:themeColor="text1"/>
          <w:szCs w:val="21"/>
        </w:rPr>
        <w:t>PD simulations across differ</w:t>
      </w:r>
      <w:r w:rsidRPr="009D6FAC">
        <w:rPr>
          <w:rFonts w:cs="Times New Roman"/>
          <w:color w:val="000000" w:themeColor="text1"/>
          <w:szCs w:val="21"/>
        </w:rPr>
        <w:t>ent stages of pregnancy show fluctuations in both PK and PD; however, these variations are not particularly significant. Ultimately, the results indicate that 500 mg is the optimal dosing regimen for patients with MAP ≤ 130 mmHg. For MAP &gt; 130 mmHg, additional antihypertensive medications are recommended. Due to its delayed onset, methyldopa should be combined with other antih</w:t>
      </w:r>
      <w:r w:rsidRPr="004060ED">
        <w:rPr>
          <w:rFonts w:cs="Times New Roman"/>
          <w:color w:val="000000" w:themeColor="text1"/>
          <w:szCs w:val="21"/>
        </w:rPr>
        <w:t>ypertensives during the first 48 hours.</w:t>
      </w:r>
    </w:p>
    <w:p w14:paraId="21936933" w14:textId="63491823" w:rsidR="004060ED" w:rsidRPr="00E9126B" w:rsidRDefault="004060ED" w:rsidP="004060ED">
      <w:pPr>
        <w:rPr>
          <w:rFonts w:cs="Times New Roman"/>
          <w:szCs w:val="21"/>
        </w:rPr>
      </w:pPr>
      <w:r w:rsidRPr="004060ED">
        <w:rPr>
          <w:rFonts w:cs="Times New Roman"/>
          <w:b/>
          <w:bCs/>
          <w:color w:val="000000" w:themeColor="text1"/>
          <w:szCs w:val="21"/>
        </w:rPr>
        <w:t>Conclusion:</w:t>
      </w:r>
      <w:r w:rsidRPr="004060ED">
        <w:rPr>
          <w:rFonts w:cs="Times New Roman"/>
          <w:color w:val="000000" w:themeColor="text1"/>
          <w:szCs w:val="21"/>
        </w:rPr>
        <w:t xml:space="preserve"> The PBPK</w:t>
      </w:r>
      <w:r w:rsidRPr="004060ED">
        <w:rPr>
          <w:rFonts w:cs="Times New Roman" w:hint="eastAsia"/>
          <w:color w:val="000000" w:themeColor="text1"/>
          <w:szCs w:val="21"/>
        </w:rPr>
        <w:t>-</w:t>
      </w:r>
      <w:r w:rsidR="00E46970" w:rsidRPr="004060ED">
        <w:rPr>
          <w:rFonts w:cs="Times New Roman"/>
          <w:color w:val="000000" w:themeColor="text1"/>
          <w:szCs w:val="21"/>
        </w:rPr>
        <w:t xml:space="preserve"> </w:t>
      </w:r>
      <w:r w:rsidRPr="004060ED">
        <w:rPr>
          <w:rFonts w:cs="Times New Roman"/>
          <w:color w:val="000000" w:themeColor="text1"/>
          <w:szCs w:val="21"/>
        </w:rPr>
        <w:t>PD model</w:t>
      </w:r>
      <w:r w:rsidRPr="00E9126B">
        <w:rPr>
          <w:rFonts w:cs="Times New Roman"/>
          <w:szCs w:val="21"/>
        </w:rPr>
        <w:t xml:space="preserve"> developed in this study provides a valuable tool for optimizing methyldopa therapy, supporting personalized treatment strategies, and improving blood pressure management and maternal and fetal health outcomes in pregnancy-induced hypertension.</w:t>
      </w:r>
    </w:p>
    <w:p w14:paraId="2F3787CB" w14:textId="21019C4A" w:rsidR="004060ED" w:rsidRPr="00572219" w:rsidRDefault="004334B4" w:rsidP="004060ED">
      <w:pPr>
        <w:rPr>
          <w:rFonts w:cs="Times New Roman"/>
          <w:szCs w:val="21"/>
        </w:rPr>
      </w:pPr>
      <w:r w:rsidRPr="004334B4">
        <w:rPr>
          <w:rFonts w:cs="Times New Roman"/>
          <w:noProof/>
          <w:szCs w:val="21"/>
        </w:rPr>
        <w:lastRenderedPageBreak/>
        <w:drawing>
          <wp:inline distT="0" distB="0" distL="0" distR="0" wp14:anchorId="55D57DDA" wp14:editId="01544042">
            <wp:extent cx="5486400" cy="2122998"/>
            <wp:effectExtent l="0" t="0" r="0" b="0"/>
            <wp:docPr id="5" name="图片 4">
              <a:extLst xmlns:a="http://schemas.openxmlformats.org/drawingml/2006/main">
                <a:ext uri="{FF2B5EF4-FFF2-40B4-BE49-F238E27FC236}">
                  <a16:creationId xmlns:a16="http://schemas.microsoft.com/office/drawing/2014/main" id="{F8110200-428C-C63D-76E1-798FA8C93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8110200-428C-C63D-76E1-798FA8C93187}"/>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98178" cy="2127555"/>
                    </a:xfrm>
                    <a:prstGeom prst="rect">
                      <a:avLst/>
                    </a:prstGeom>
                  </pic:spPr>
                </pic:pic>
              </a:graphicData>
            </a:graphic>
          </wp:inline>
        </w:drawing>
      </w:r>
    </w:p>
    <w:p w14:paraId="3AEE1C09" w14:textId="77777777" w:rsidR="004060ED" w:rsidRDefault="004060ED"/>
    <w:p w14:paraId="770F3058" w14:textId="7D2DA1AF" w:rsidR="009D6DFA" w:rsidRDefault="00000000">
      <w:r>
        <w:rPr>
          <w:b/>
        </w:rPr>
        <w:t>References:</w:t>
      </w:r>
      <w:r>
        <w:t xml:space="preserve"> </w:t>
      </w:r>
    </w:p>
    <w:p w14:paraId="38ECD674" w14:textId="3A5A618E" w:rsidR="004060ED" w:rsidRPr="00F4208C" w:rsidRDefault="004060ED" w:rsidP="004060ED">
      <w:pPr>
        <w:pStyle w:val="aff9"/>
        <w:rPr>
          <w:rFonts w:cs="Times New Roman"/>
        </w:rPr>
      </w:pPr>
      <w:r>
        <w:t xml:space="preserve">(1) </w:t>
      </w:r>
      <w:r w:rsidRPr="008A3700">
        <w:rPr>
          <w:rFonts w:cs="Times New Roman" w:hint="eastAsia"/>
        </w:rPr>
        <w:t xml:space="preserve">Women Attending Delivery Service at Mizan-Tepi University Teaching Hospital, Tepi General Hospital and Gebretsadik Shawo Hospital, Southwest, Ethiopia. </w:t>
      </w:r>
      <w:r w:rsidRPr="008A3700">
        <w:rPr>
          <w:rFonts w:cs="Times New Roman" w:hint="eastAsia"/>
          <w:i/>
          <w:iCs/>
        </w:rPr>
        <w:t>Ethiop J Health Sci</w:t>
      </w:r>
      <w:r w:rsidRPr="008A3700">
        <w:rPr>
          <w:rFonts w:cs="Times New Roman" w:hint="eastAsia"/>
        </w:rPr>
        <w:t>. 29(1) (1970).</w:t>
      </w:r>
    </w:p>
    <w:p w14:paraId="70EBE466" w14:textId="5B0C2D2B" w:rsidR="004060ED" w:rsidRPr="00F4208C" w:rsidRDefault="004060ED" w:rsidP="004060ED">
      <w:pPr>
        <w:pStyle w:val="aff9"/>
        <w:rPr>
          <w:rFonts w:cs="Times New Roman"/>
        </w:rPr>
      </w:pPr>
      <w:r>
        <w:t xml:space="preserve">(2) </w:t>
      </w:r>
      <w:proofErr w:type="spellStart"/>
      <w:r w:rsidRPr="008A3700">
        <w:rPr>
          <w:rFonts w:cs="Times New Roman" w:hint="eastAsia"/>
        </w:rPr>
        <w:t>Khedagi</w:t>
      </w:r>
      <w:proofErr w:type="spellEnd"/>
      <w:r w:rsidRPr="008A3700">
        <w:rPr>
          <w:rFonts w:cs="Times New Roman" w:hint="eastAsia"/>
        </w:rPr>
        <w:t xml:space="preserve"> AM, Bello NA. Hypertensive Disorders of Pregnancy. </w:t>
      </w:r>
      <w:r w:rsidRPr="008A3700">
        <w:rPr>
          <w:rFonts w:cs="Times New Roman" w:hint="eastAsia"/>
          <w:i/>
          <w:iCs/>
        </w:rPr>
        <w:t>Cardiology Clinics</w:t>
      </w:r>
      <w:r w:rsidRPr="008A3700">
        <w:rPr>
          <w:rFonts w:cs="Times New Roman" w:hint="eastAsia"/>
        </w:rPr>
        <w:t>. 39(1), 77</w:t>
      </w:r>
      <w:r w:rsidRPr="008A3700">
        <w:rPr>
          <w:rFonts w:cs="Times New Roman" w:hint="eastAsia"/>
        </w:rPr>
        <w:t>–</w:t>
      </w:r>
      <w:r w:rsidRPr="008A3700">
        <w:rPr>
          <w:rFonts w:cs="Times New Roman" w:hint="eastAsia"/>
        </w:rPr>
        <w:t>90 (2021).</w:t>
      </w:r>
    </w:p>
    <w:p w14:paraId="4B19D428" w14:textId="77777777" w:rsidR="004060ED" w:rsidRDefault="004060ED"/>
    <w:sectPr w:rsidR="004060ED"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18170" w14:textId="77777777" w:rsidR="00C05106" w:rsidRDefault="00C05106" w:rsidP="00E46970">
      <w:pPr>
        <w:spacing w:after="0" w:line="240" w:lineRule="auto"/>
      </w:pPr>
      <w:r>
        <w:separator/>
      </w:r>
    </w:p>
  </w:endnote>
  <w:endnote w:type="continuationSeparator" w:id="0">
    <w:p w14:paraId="6121986F" w14:textId="77777777" w:rsidR="00C05106" w:rsidRDefault="00C05106" w:rsidP="00E46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35D3D" w14:textId="77777777" w:rsidR="00C05106" w:rsidRDefault="00C05106" w:rsidP="00E46970">
      <w:pPr>
        <w:spacing w:after="0" w:line="240" w:lineRule="auto"/>
      </w:pPr>
      <w:r>
        <w:separator/>
      </w:r>
    </w:p>
  </w:footnote>
  <w:footnote w:type="continuationSeparator" w:id="0">
    <w:p w14:paraId="3C935ADD" w14:textId="77777777" w:rsidR="00C05106" w:rsidRDefault="00C05106" w:rsidP="00E469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2145465223">
    <w:abstractNumId w:val="8"/>
  </w:num>
  <w:num w:numId="2" w16cid:durableId="1516193603">
    <w:abstractNumId w:val="6"/>
  </w:num>
  <w:num w:numId="3" w16cid:durableId="1611737317">
    <w:abstractNumId w:val="5"/>
  </w:num>
  <w:num w:numId="4" w16cid:durableId="1376537386">
    <w:abstractNumId w:val="4"/>
  </w:num>
  <w:num w:numId="5" w16cid:durableId="843321025">
    <w:abstractNumId w:val="7"/>
  </w:num>
  <w:num w:numId="6" w16cid:durableId="136149130">
    <w:abstractNumId w:val="3"/>
  </w:num>
  <w:num w:numId="7" w16cid:durableId="1272857056">
    <w:abstractNumId w:val="2"/>
  </w:num>
  <w:num w:numId="8" w16cid:durableId="638612200">
    <w:abstractNumId w:val="1"/>
  </w:num>
  <w:num w:numId="9" w16cid:durableId="1690569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07AD7"/>
    <w:rsid w:val="00326F90"/>
    <w:rsid w:val="004060ED"/>
    <w:rsid w:val="004334B4"/>
    <w:rsid w:val="009D6DFA"/>
    <w:rsid w:val="00AA1D8D"/>
    <w:rsid w:val="00B47730"/>
    <w:rsid w:val="00C05106"/>
    <w:rsid w:val="00CB0664"/>
    <w:rsid w:val="00E4697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6D18C0"/>
  <w14:defaultImageDpi w14:val="300"/>
  <w15:docId w15:val="{20BFC05D-8F8C-0D47-B295-96E1B2963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rPr>
      <w:rFonts w:ascii="Times New Roman" w:hAnsi="Times New Roman"/>
      <w:sz w:val="24"/>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页眉 字符"/>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页脚 字符"/>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标题 1 字符"/>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标题 2 字符"/>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标题 3 字符"/>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标题 字符"/>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ad">
    <w:name w:val="副标题 字符"/>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正文文本 字符"/>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正文文本 2 字符"/>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正文文本 3 字符"/>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宏文本 字符"/>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 字符"/>
    <w:basedOn w:val="a2"/>
    <w:link w:val="af5"/>
    <w:uiPriority w:val="29"/>
    <w:rsid w:val="00FC693F"/>
    <w:rPr>
      <w:i/>
      <w:iCs/>
      <w:color w:val="000000" w:themeColor="text1"/>
    </w:rPr>
  </w:style>
  <w:style w:type="character" w:customStyle="1" w:styleId="40">
    <w:name w:val="标题 4 字符"/>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标题 5 字符"/>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标题 6 字符"/>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标题 7 字符"/>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标题 8 字符"/>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标题 9 字符"/>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明显引用 字符"/>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TOC">
    <w:name w:val="TOC Heading"/>
    <w:basedOn w:val="1"/>
    <w:next w:val="a1"/>
    <w:uiPriority w:val="39"/>
    <w:semiHidden/>
    <w:unhideWhenUsed/>
    <w:qFormat/>
    <w:rsid w:val="00FC693F"/>
    <w:pPr>
      <w:outlineLvl w:val="9"/>
    </w:pPr>
  </w:style>
  <w:style w:type="table" w:styleId="aff1">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9">
    <w:name w:val="Bibliography"/>
    <w:basedOn w:val="a1"/>
    <w:next w:val="a1"/>
    <w:uiPriority w:val="37"/>
    <w:semiHidden/>
    <w:unhideWhenUsed/>
    <w:rsid w:val="00406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Liu Xinyang</cp:lastModifiedBy>
  <cp:revision>4</cp:revision>
  <dcterms:created xsi:type="dcterms:W3CDTF">2013-12-23T23:15:00Z</dcterms:created>
  <dcterms:modified xsi:type="dcterms:W3CDTF">2025-05-20T02:18:00Z</dcterms:modified>
  <cp:category/>
</cp:coreProperties>
</file>