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no"/>
        <w:suppressAutoHyphens w:val="1"/>
        <w:spacing w:before="0" w:line="240" w:lineRule="auto"/>
        <w:rPr>
          <w:rFonts w:ascii="Calibri" w:cs="Calibri" w:hAnsi="Calibri" w:eastAsia="Calibri"/>
          <w:b w:val="1"/>
          <w:bCs w:val="1"/>
          <w:sz w:val="20"/>
          <w:szCs w:val="20"/>
        </w:rPr>
      </w:pPr>
      <w:r>
        <w:rPr>
          <w:rFonts w:ascii="Calibri" w:hAnsi="Calibri"/>
          <w:b w:val="1"/>
          <w:bCs w:val="1"/>
          <w:sz w:val="20"/>
          <w:szCs w:val="20"/>
          <w:rtl w:val="0"/>
          <w:lang w:val="en-US"/>
        </w:rPr>
        <w:t xml:space="preserve">Prevalence of </w:t>
      </w:r>
      <w:r>
        <w:rPr>
          <w:rFonts w:ascii="Calibri" w:hAnsi="Calibri"/>
          <w:b w:val="1"/>
          <w:bCs w:val="1"/>
          <w:sz w:val="20"/>
          <w:szCs w:val="20"/>
          <w:rtl w:val="0"/>
        </w:rPr>
        <w:t>a</w:t>
      </w:r>
      <w:r>
        <w:rPr>
          <w:rFonts w:ascii="Calibri" w:hAnsi="Calibri"/>
          <w:b w:val="1"/>
          <w:bCs w:val="1"/>
          <w:sz w:val="20"/>
          <w:szCs w:val="20"/>
          <w:rtl w:val="0"/>
          <w:lang w:val="de-DE"/>
        </w:rPr>
        <w:t xml:space="preserve">nalgesic </w:t>
      </w:r>
      <w:r>
        <w:rPr>
          <w:rFonts w:ascii="Calibri" w:hAnsi="Calibri"/>
          <w:b w:val="1"/>
          <w:bCs w:val="1"/>
          <w:sz w:val="20"/>
          <w:szCs w:val="20"/>
          <w:rtl w:val="0"/>
        </w:rPr>
        <w:t>u</w:t>
      </w:r>
      <w:r>
        <w:rPr>
          <w:rFonts w:ascii="Calibri" w:hAnsi="Calibri"/>
          <w:b w:val="1"/>
          <w:bCs w:val="1"/>
          <w:sz w:val="20"/>
          <w:szCs w:val="20"/>
          <w:rtl w:val="0"/>
        </w:rPr>
        <w:t xml:space="preserve">se for </w:t>
      </w:r>
      <w:r>
        <w:rPr>
          <w:rFonts w:ascii="Calibri" w:hAnsi="Calibri"/>
          <w:b w:val="1"/>
          <w:bCs w:val="1"/>
          <w:sz w:val="20"/>
          <w:szCs w:val="20"/>
          <w:rtl w:val="0"/>
        </w:rPr>
        <w:t>r</w:t>
      </w:r>
      <w:r>
        <w:rPr>
          <w:rFonts w:ascii="Calibri" w:hAnsi="Calibri"/>
          <w:b w:val="1"/>
          <w:bCs w:val="1"/>
          <w:sz w:val="20"/>
          <w:szCs w:val="20"/>
          <w:rtl w:val="0"/>
          <w:lang w:val="en-US"/>
        </w:rPr>
        <w:t xml:space="preserve">elieving </w:t>
      </w:r>
      <w:r>
        <w:rPr>
          <w:rFonts w:ascii="Calibri" w:hAnsi="Calibri"/>
          <w:b w:val="1"/>
          <w:bCs w:val="1"/>
          <w:sz w:val="20"/>
          <w:szCs w:val="20"/>
          <w:rtl w:val="0"/>
        </w:rPr>
        <w:t>a</w:t>
      </w:r>
      <w:r>
        <w:rPr>
          <w:rFonts w:ascii="Calibri" w:hAnsi="Calibri"/>
          <w:b w:val="1"/>
          <w:bCs w:val="1"/>
          <w:sz w:val="20"/>
          <w:szCs w:val="20"/>
          <w:rtl w:val="0"/>
        </w:rPr>
        <w:t xml:space="preserve">cute </w:t>
      </w:r>
      <w:r>
        <w:rPr>
          <w:rFonts w:ascii="Calibri" w:hAnsi="Calibri"/>
          <w:b w:val="1"/>
          <w:bCs w:val="1"/>
          <w:sz w:val="20"/>
          <w:szCs w:val="20"/>
          <w:rtl w:val="0"/>
        </w:rPr>
        <w:t>p</w:t>
      </w:r>
      <w:r>
        <w:rPr>
          <w:rFonts w:ascii="Calibri" w:hAnsi="Calibri"/>
          <w:b w:val="1"/>
          <w:bCs w:val="1"/>
          <w:sz w:val="20"/>
          <w:szCs w:val="20"/>
          <w:rtl w:val="0"/>
          <w:lang w:val="en-US"/>
        </w:rPr>
        <w:t xml:space="preserve">ain in the </w:t>
      </w:r>
      <w:r>
        <w:rPr>
          <w:rFonts w:ascii="Calibri" w:hAnsi="Calibri"/>
          <w:b w:val="1"/>
          <w:bCs w:val="1"/>
          <w:sz w:val="20"/>
          <w:szCs w:val="20"/>
          <w:rtl w:val="0"/>
        </w:rPr>
        <w:t>o</w:t>
      </w:r>
      <w:r>
        <w:rPr>
          <w:rFonts w:ascii="Calibri" w:hAnsi="Calibri"/>
          <w:b w:val="1"/>
          <w:bCs w:val="1"/>
          <w:sz w:val="20"/>
          <w:szCs w:val="20"/>
          <w:rtl w:val="0"/>
        </w:rPr>
        <w:t xml:space="preserve">ral </w:t>
      </w:r>
      <w:r>
        <w:rPr>
          <w:rFonts w:ascii="Calibri" w:hAnsi="Calibri"/>
          <w:b w:val="1"/>
          <w:bCs w:val="1"/>
          <w:sz w:val="20"/>
          <w:szCs w:val="20"/>
          <w:rtl w:val="0"/>
        </w:rPr>
        <w:t>c</w:t>
      </w:r>
      <w:r>
        <w:rPr>
          <w:rFonts w:ascii="Calibri" w:hAnsi="Calibri"/>
          <w:b w:val="1"/>
          <w:bCs w:val="1"/>
          <w:sz w:val="20"/>
          <w:szCs w:val="20"/>
          <w:rtl w:val="0"/>
        </w:rPr>
        <w:t>avity</w:t>
      </w:r>
    </w:p>
    <w:p>
      <w:pPr>
        <w:pStyle w:val="Standardno"/>
        <w:suppressAutoHyphens w:val="1"/>
        <w:spacing w:before="0" w:line="240" w:lineRule="auto"/>
        <w:rPr>
          <w:rFonts w:ascii="Calibri" w:cs="Calibri" w:hAnsi="Calibri" w:eastAsia="Calibri"/>
          <w:sz w:val="20"/>
          <w:szCs w:val="20"/>
          <w:u w:color="000000"/>
        </w:rPr>
      </w:pPr>
      <w:r>
        <w:rPr>
          <w:rFonts w:ascii="Calibri" w:hAnsi="Calibri"/>
          <w:sz w:val="20"/>
          <w:szCs w:val="20"/>
          <w:rtl w:val="0"/>
        </w:rPr>
        <w:t>Lara Vrani</w:t>
      </w:r>
      <w:r>
        <w:rPr>
          <w:rFonts w:ascii="Calibri" w:hAnsi="Calibri" w:hint="default"/>
          <w:sz w:val="20"/>
          <w:szCs w:val="20"/>
          <w:rtl w:val="0"/>
        </w:rPr>
        <w:t>ć</w:t>
      </w:r>
      <w:r>
        <w:rPr>
          <w:rFonts w:ascii="Calibri" w:hAnsi="Calibri" w:hint="default"/>
          <w:sz w:val="20"/>
          <w:szCs w:val="20"/>
          <w:u w:color="000000"/>
          <w:rtl w:val="0"/>
        </w:rPr>
        <w:t xml:space="preserve">¹ </w:t>
      </w:r>
      <w:r>
        <w:rPr>
          <w:rFonts w:ascii="Calibri" w:hAnsi="Calibri"/>
          <w:sz w:val="20"/>
          <w:szCs w:val="20"/>
          <w:rtl w:val="0"/>
        </w:rPr>
        <w:t xml:space="preserve"> (presenting), Ivana </w:t>
      </w:r>
      <w:r>
        <w:rPr>
          <w:rFonts w:ascii="Calibri" w:hAnsi="Calibri" w:hint="default"/>
          <w:sz w:val="20"/>
          <w:szCs w:val="20"/>
          <w:rtl w:val="0"/>
        </w:rPr>
        <w:t>Š</w:t>
      </w:r>
      <w:r>
        <w:rPr>
          <w:rFonts w:ascii="Calibri" w:hAnsi="Calibri"/>
          <w:sz w:val="20"/>
          <w:szCs w:val="20"/>
          <w:rtl w:val="0"/>
        </w:rPr>
        <w:t>utej</w:t>
      </w:r>
      <w:r>
        <w:rPr>
          <w:rFonts w:ascii="Calibri" w:hAnsi="Calibri" w:hint="default"/>
          <w:sz w:val="20"/>
          <w:szCs w:val="20"/>
          <w:u w:color="000000"/>
          <w:rtl w:val="0"/>
        </w:rPr>
        <w:t>²</w:t>
      </w:r>
      <w:r>
        <w:rPr>
          <w:rFonts w:ascii="Calibri" w:hAnsi="Calibri"/>
          <w:sz w:val="20"/>
          <w:szCs w:val="20"/>
          <w:rtl w:val="0"/>
        </w:rPr>
        <w:t xml:space="preserve">, Luka </w:t>
      </w:r>
      <w:r>
        <w:rPr>
          <w:rFonts w:ascii="Calibri" w:hAnsi="Calibri" w:hint="default"/>
          <w:sz w:val="20"/>
          <w:szCs w:val="20"/>
          <w:rtl w:val="0"/>
        </w:rPr>
        <w:t>Š</w:t>
      </w:r>
      <w:r>
        <w:rPr>
          <w:rFonts w:ascii="Calibri" w:hAnsi="Calibri"/>
          <w:sz w:val="20"/>
          <w:szCs w:val="20"/>
          <w:rtl w:val="0"/>
        </w:rPr>
        <w:t>imunovi</w:t>
      </w:r>
      <w:r>
        <w:rPr>
          <w:rFonts w:ascii="Calibri" w:hAnsi="Calibri" w:hint="default"/>
          <w:sz w:val="20"/>
          <w:szCs w:val="20"/>
          <w:rtl w:val="0"/>
        </w:rPr>
        <w:t>ć</w:t>
      </w:r>
      <w:r>
        <w:rPr>
          <w:rFonts w:ascii="Calibri" w:hAnsi="Calibri" w:hint="default"/>
          <w:sz w:val="20"/>
          <w:szCs w:val="20"/>
          <w:u w:color="000000"/>
          <w:rtl w:val="0"/>
        </w:rPr>
        <w:t>³</w:t>
      </w:r>
      <w:r>
        <w:rPr>
          <w:rFonts w:ascii="Calibri" w:hAnsi="Calibri"/>
          <w:sz w:val="20"/>
          <w:szCs w:val="20"/>
          <w:rtl w:val="0"/>
        </w:rPr>
        <w:t>, Dubravka Negoveti</w:t>
      </w:r>
      <w:r>
        <w:rPr>
          <w:rFonts w:ascii="Calibri" w:hAnsi="Calibri" w:hint="default"/>
          <w:sz w:val="20"/>
          <w:szCs w:val="20"/>
          <w:rtl w:val="0"/>
        </w:rPr>
        <w:t xml:space="preserve">ć </w:t>
      </w:r>
      <w:r>
        <w:rPr>
          <w:rFonts w:ascii="Calibri" w:hAnsi="Calibri"/>
          <w:sz w:val="20"/>
          <w:szCs w:val="20"/>
          <w:rtl w:val="0"/>
        </w:rPr>
        <w:t>Vrani</w:t>
      </w:r>
      <w:r>
        <w:rPr>
          <w:rFonts w:ascii="Calibri" w:hAnsi="Calibri" w:hint="default"/>
          <w:sz w:val="20"/>
          <w:szCs w:val="20"/>
          <w:rtl w:val="0"/>
        </w:rPr>
        <w:t>ć</w:t>
      </w:r>
      <w:r>
        <w:rPr>
          <w:rFonts w:ascii="Calibri" w:hAnsi="Calibri"/>
          <w:sz w:val="20"/>
          <w:szCs w:val="20"/>
          <w:u w:color="000000"/>
          <w:vertAlign w:val="superscript"/>
          <w:rtl w:val="0"/>
        </w:rPr>
        <w:t>4</w:t>
      </w:r>
      <w:r>
        <w:rPr>
          <w:rFonts w:ascii="Calibri" w:hAnsi="Calibri"/>
          <w:sz w:val="20"/>
          <w:szCs w:val="20"/>
          <w:u w:color="000000"/>
          <w:rtl w:val="0"/>
        </w:rPr>
        <w:t>.</w:t>
      </w:r>
      <w:r>
        <w:rPr>
          <w:rFonts w:ascii="Calibri" w:hAnsi="Calibri"/>
          <w:sz w:val="20"/>
          <w:szCs w:val="20"/>
          <w:u w:color="000000"/>
          <w:rtl w:val="0"/>
        </w:rPr>
        <w:t xml:space="preserve"> Sch Dent Med, Univ Zagreb, Zagreb, Cro; PhD Programme</w:t>
      </w:r>
      <w:r>
        <w:rPr>
          <w:rFonts w:ascii="Calibri" w:hAnsi="Calibri" w:hint="default"/>
          <w:sz w:val="20"/>
          <w:szCs w:val="20"/>
          <w:u w:color="000000"/>
          <w:rtl w:val="0"/>
        </w:rPr>
        <w:t xml:space="preserve">¹ </w:t>
      </w:r>
      <w:r>
        <w:rPr>
          <w:rFonts w:ascii="Calibri" w:hAnsi="Calibri"/>
          <w:sz w:val="20"/>
          <w:szCs w:val="20"/>
          <w:u w:color="000000"/>
          <w:rtl w:val="0"/>
          <w:lang w:val="en-US"/>
        </w:rPr>
        <w:t xml:space="preserve">,Dept of </w:t>
      </w:r>
      <w:r>
        <w:rPr>
          <w:rFonts w:ascii="Calibri" w:hAnsi="Calibri"/>
          <w:sz w:val="20"/>
          <w:szCs w:val="20"/>
          <w:u w:color="000000"/>
          <w:rtl w:val="0"/>
        </w:rPr>
        <w:t>Pharmacology</w:t>
      </w:r>
      <w:r>
        <w:rPr>
          <w:rFonts w:ascii="Calibri" w:hAnsi="Calibri" w:hint="default"/>
          <w:sz w:val="20"/>
          <w:szCs w:val="20"/>
          <w:u w:color="000000"/>
          <w:rtl w:val="0"/>
        </w:rPr>
        <w:t>²</w:t>
      </w:r>
      <w:r>
        <w:rPr>
          <w:rFonts w:ascii="Calibri" w:hAnsi="Calibri"/>
          <w:sz w:val="20"/>
          <w:szCs w:val="20"/>
          <w:u w:color="000000"/>
          <w:rtl w:val="0"/>
        </w:rPr>
        <w:t>,</w:t>
      </w:r>
      <w:r>
        <w:rPr>
          <w:rFonts w:ascii="Calibri" w:hAnsi="Calibri"/>
          <w:sz w:val="20"/>
          <w:szCs w:val="20"/>
          <w:u w:color="000000"/>
          <w:rtl w:val="0"/>
        </w:rPr>
        <w:t xml:space="preserve"> Sch Dent Med, Univ Zagreb, Zagreb, Cro; Dept of Orthodontics</w:t>
      </w:r>
      <w:r>
        <w:rPr>
          <w:rFonts w:ascii="Calibri" w:hAnsi="Calibri" w:hint="default"/>
          <w:sz w:val="20"/>
          <w:szCs w:val="20"/>
          <w:u w:color="000000"/>
          <w:rtl w:val="0"/>
        </w:rPr>
        <w:t>³</w:t>
      </w:r>
      <w:r>
        <w:rPr>
          <w:rFonts w:ascii="Calibri" w:hAnsi="Calibri"/>
          <w:sz w:val="20"/>
          <w:szCs w:val="20"/>
          <w:u w:color="000000"/>
          <w:rtl w:val="0"/>
        </w:rPr>
        <w:t>, Sch Dent Med, Univ Zagreb, Zagreb, Cro</w:t>
      </w:r>
      <w:r>
        <w:rPr>
          <w:rFonts w:ascii="Calibri" w:hAnsi="Calibri"/>
          <w:sz w:val="20"/>
          <w:szCs w:val="20"/>
          <w:u w:color="000000"/>
          <w:rtl w:val="0"/>
        </w:rPr>
        <w:t xml:space="preserve">, Dept of Paediatrics and Preventitive </w:t>
      </w:r>
    </w:p>
    <w:p>
      <w:pPr>
        <w:pStyle w:val="Standardno"/>
        <w:suppressAutoHyphens w:val="1"/>
        <w:spacing w:before="0" w:line="240" w:lineRule="auto"/>
        <w:rPr>
          <w:rFonts w:ascii="Calibri" w:cs="Calibri" w:hAnsi="Calibri" w:eastAsia="Calibri"/>
          <w:sz w:val="20"/>
          <w:szCs w:val="20"/>
        </w:rPr>
      </w:pPr>
    </w:p>
    <w:p>
      <w:pPr>
        <w:pStyle w:val="Standardno"/>
        <w:suppressAutoHyphens w:val="1"/>
        <w:spacing w:before="0" w:line="240" w:lineRule="auto"/>
        <w:jc w:val="both"/>
        <w:rPr>
          <w:rFonts w:ascii="Calibri" w:cs="Calibri" w:hAnsi="Calibri" w:eastAsia="Calibri"/>
          <w:sz w:val="20"/>
          <w:szCs w:val="20"/>
        </w:rPr>
      </w:pPr>
      <w:r>
        <w:rPr>
          <w:rFonts w:ascii="Calibri" w:hAnsi="Calibri"/>
          <w:b w:val="1"/>
          <w:bCs w:val="1"/>
          <w:sz w:val="20"/>
          <w:szCs w:val="20"/>
          <w:rtl w:val="0"/>
        </w:rPr>
        <w:t xml:space="preserve">Introduction. </w:t>
      </w:r>
      <w:r>
        <w:rPr>
          <w:rFonts w:ascii="Calibri" w:hAnsi="Calibri"/>
          <w:sz w:val="20"/>
          <w:szCs w:val="20"/>
          <w:rtl w:val="0"/>
          <w:lang w:val="en-US"/>
        </w:rPr>
        <w:t>Acute dental pain, often impairing daily life, is frequently self-managed with analgesics before emergency visits, influencing pain at presentation and prescribing.</w:t>
      </w:r>
      <w:r>
        <w:rPr>
          <w:rFonts w:ascii="Calibri" w:cs="Calibri" w:hAnsi="Calibri" w:eastAsia="Calibri"/>
          <w:sz w:val="20"/>
          <w:szCs w:val="20"/>
        </w:rPr>
        <w:br w:type="textWrapping"/>
      </w:r>
      <w:r>
        <w:rPr>
          <w:rFonts w:ascii="Calibri" w:hAnsi="Calibri"/>
          <w:b w:val="1"/>
          <w:bCs w:val="1"/>
          <w:sz w:val="20"/>
          <w:szCs w:val="20"/>
          <w:rtl w:val="0"/>
        </w:rPr>
        <w:t>Aim</w:t>
      </w:r>
      <w:r>
        <w:rPr>
          <w:rFonts w:ascii="Calibri" w:hAnsi="Calibri"/>
          <w:b w:val="1"/>
          <w:bCs w:val="1"/>
          <w:sz w:val="20"/>
          <w:szCs w:val="20"/>
          <w:rtl w:val="0"/>
        </w:rPr>
        <w:t>.</w:t>
      </w:r>
      <w:r>
        <w:rPr>
          <w:rFonts w:ascii="Calibri" w:hAnsi="Calibri"/>
          <w:sz w:val="20"/>
          <w:szCs w:val="20"/>
          <w:rtl w:val="0"/>
          <w:lang w:val="en-US"/>
        </w:rPr>
        <w:t xml:space="preserve"> To investigate the prevalence, patterns, and safety of analgesic use among patients presenting with acute dental pain in an emergency setting.</w:t>
      </w:r>
    </w:p>
    <w:p>
      <w:pPr>
        <w:pStyle w:val="Standardno"/>
        <w:suppressAutoHyphens w:val="1"/>
        <w:spacing w:before="0" w:line="240" w:lineRule="auto"/>
        <w:jc w:val="both"/>
        <w:rPr>
          <w:rFonts w:ascii="Calibri" w:cs="Calibri" w:hAnsi="Calibri" w:eastAsia="Calibri"/>
          <w:sz w:val="20"/>
          <w:szCs w:val="20"/>
        </w:rPr>
      </w:pPr>
      <w:r>
        <w:rPr>
          <w:rFonts w:ascii="Calibri" w:hAnsi="Calibri"/>
          <w:b w:val="1"/>
          <w:bCs w:val="1"/>
          <w:sz w:val="20"/>
          <w:szCs w:val="20"/>
          <w:rtl w:val="0"/>
          <w:lang w:val="en-US"/>
        </w:rPr>
        <w:t>Methods</w:t>
      </w:r>
      <w:r>
        <w:rPr>
          <w:rFonts w:ascii="Calibri" w:hAnsi="Calibri"/>
          <w:b w:val="1"/>
          <w:bCs w:val="1"/>
          <w:sz w:val="20"/>
          <w:szCs w:val="20"/>
          <w:rtl w:val="0"/>
        </w:rPr>
        <w:t>.</w:t>
      </w:r>
      <w:r>
        <w:rPr>
          <w:rFonts w:ascii="Calibri" w:hAnsi="Calibri"/>
          <w:sz w:val="20"/>
          <w:szCs w:val="20"/>
          <w:rtl w:val="0"/>
          <w:lang w:val="en-US"/>
        </w:rPr>
        <w:t xml:space="preserve"> A cross-sectional survey was conducted between April and July 2025 at the Emergency Dental Service, Health Center Zagreb </w:t>
      </w:r>
      <w:r>
        <w:rPr>
          <w:rFonts w:ascii="Calibri" w:hAnsi="Calibri" w:hint="default"/>
          <w:sz w:val="20"/>
          <w:szCs w:val="20"/>
          <w:rtl w:val="0"/>
        </w:rPr>
        <w:t xml:space="preserve">– </w:t>
      </w:r>
      <w:r>
        <w:rPr>
          <w:rFonts w:ascii="Calibri" w:hAnsi="Calibri"/>
          <w:sz w:val="20"/>
          <w:szCs w:val="20"/>
          <w:rtl w:val="0"/>
          <w:lang w:val="en-US"/>
        </w:rPr>
        <w:t>Center. A total of 527 patients (median age 36 years) completed a structured questionnaire addressing analgesic use, dosage, sources, consultation practices, side effects, and awareness of non-pharmacological methods. Clinical diagnoses and pain intensity were recorded by attending dentists.</w:t>
      </w:r>
    </w:p>
    <w:p>
      <w:pPr>
        <w:pStyle w:val="Standardno"/>
        <w:suppressAutoHyphens w:val="1"/>
        <w:spacing w:before="0" w:line="240" w:lineRule="auto"/>
        <w:jc w:val="both"/>
        <w:rPr>
          <w:rFonts w:ascii="Calibri" w:cs="Calibri" w:hAnsi="Calibri" w:eastAsia="Calibri"/>
          <w:sz w:val="20"/>
          <w:szCs w:val="20"/>
        </w:rPr>
      </w:pPr>
      <w:r>
        <w:rPr>
          <w:rFonts w:ascii="Calibri" w:hAnsi="Calibri"/>
          <w:b w:val="1"/>
          <w:bCs w:val="1"/>
          <w:sz w:val="20"/>
          <w:szCs w:val="20"/>
          <w:rtl w:val="0"/>
          <w:lang w:val="en-US"/>
        </w:rPr>
        <w:t>Results</w:t>
      </w:r>
      <w:r>
        <w:rPr>
          <w:rFonts w:ascii="Calibri" w:hAnsi="Calibri"/>
          <w:b w:val="1"/>
          <w:bCs w:val="1"/>
          <w:sz w:val="20"/>
          <w:szCs w:val="20"/>
          <w:rtl w:val="0"/>
        </w:rPr>
        <w:t>.</w:t>
      </w:r>
      <w:r>
        <w:rPr>
          <w:rFonts w:ascii="Calibri" w:hAnsi="Calibri"/>
          <w:sz w:val="20"/>
          <w:szCs w:val="20"/>
          <w:rtl w:val="0"/>
          <w:lang w:val="en-US"/>
        </w:rPr>
        <w:t xml:space="preserve"> Self-medication was highly prevalent, with 78.6% of patients reporting analgesic use prior to their visit. NSAIDs, particularly ibuprofen, were the predominant choice (83.4% of NSAID users). Nearly one-fifth (18.3%) of participants exceeded recommended dosages, and 10.2% reported adverse effects, most frequently gastrointestinal discomfort. Overdose was significantly associated with reliance on home medicine reserves, failure to read instructions, shorter perceived duration of drug effect, and dissatisfaction with pain relief. Older age also increased the likelihood of exceeding safe doses. Adverse effects were more common among patients with higher pain intensity and those who never consulted healthcare professionals.</w:t>
      </w:r>
      <w:r>
        <w:rPr>
          <w:rFonts w:ascii="Calibri" w:hAnsi="Calibri" w:hint="default"/>
          <w:sz w:val="20"/>
          <w:szCs w:val="20"/>
          <w:rtl w:val="0"/>
        </w:rPr>
        <w:t> </w:t>
      </w:r>
    </w:p>
    <w:p>
      <w:pPr>
        <w:pStyle w:val="Standardno"/>
        <w:suppressAutoHyphens w:val="1"/>
        <w:spacing w:before="0" w:line="240" w:lineRule="auto"/>
        <w:jc w:val="both"/>
        <w:rPr>
          <w:rFonts w:ascii="Calibri" w:cs="Calibri" w:hAnsi="Calibri" w:eastAsia="Calibri"/>
          <w:sz w:val="20"/>
          <w:szCs w:val="20"/>
        </w:rPr>
      </w:pPr>
      <w:r>
        <w:rPr>
          <w:rFonts w:ascii="Calibri" w:hAnsi="Calibri"/>
          <w:b w:val="1"/>
          <w:bCs w:val="1"/>
          <w:sz w:val="20"/>
          <w:szCs w:val="20"/>
          <w:rtl w:val="0"/>
          <w:lang w:val="en-US"/>
        </w:rPr>
        <w:t>Discussion.</w:t>
      </w:r>
      <w:r>
        <w:rPr>
          <w:rFonts w:ascii="Calibri" w:hAnsi="Calibri"/>
          <w:sz w:val="20"/>
          <w:szCs w:val="20"/>
          <w:rtl w:val="0"/>
          <w:lang w:val="en-US"/>
        </w:rPr>
        <w:t xml:space="preserve"> Self-medication with analgesics for acute dental pain is widespread, with NSAIDs overwhelmingly favored. However, unsafe practices including overdose and insufficient awareness of risks pose significant concerns. Enhanced patient education, pharmacist and physician involvement, and promotion of safe non-pharmacological strategies are needed to optimize pain management and reduce risks in dental emergencies.</w:t>
      </w:r>
    </w:p>
    <w:p>
      <w:pPr>
        <w:pStyle w:val="Standardno"/>
        <w:suppressAutoHyphens w:val="1"/>
        <w:spacing w:before="0" w:after="320" w:line="240" w:lineRule="auto"/>
        <w:jc w:val="both"/>
      </w:pPr>
      <w:r>
        <w:rPr>
          <w:rFonts w:ascii="Calibri" w:cs="Calibri" w:hAnsi="Calibri" w:eastAsia="Calibri"/>
          <w:sz w:val="20"/>
          <w:szCs w:val="2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hrvatski" w:val="‘“(〔[{〈《「『【⦅〘〖«〝︵︷︹︻︽︿﹁﹃﹇﹙﹛﹝｢"/>
  <w:noLineBreaksBefore w:lang="hrvat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rdno">
    <w:name w:val="Standardno"/>
    <w:next w:val="Standardno"/>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