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F1B9" w14:textId="08C13753" w:rsidR="00C315D2" w:rsidRPr="00C315D2" w:rsidRDefault="00D50D48" w:rsidP="5E2C5F31">
      <w:pPr>
        <w:spacing w:after="0" w:line="240" w:lineRule="auto"/>
        <w:rPr>
          <w:rFonts w:ascii="Arial" w:eastAsia="Calibri" w:hAnsi="Arial" w:cs="Calibri"/>
          <w:b/>
          <w:bCs/>
          <w:kern w:val="0"/>
          <w:lang w:val="en-US"/>
          <w14:ligatures w14:val="none"/>
        </w:rPr>
      </w:pPr>
      <w:r w:rsidRPr="00D50D48">
        <w:rPr>
          <w:rFonts w:ascii="Arial" w:eastAsia="Calibri" w:hAnsi="Arial" w:cs="Calibri"/>
          <w:b/>
          <w:bCs/>
          <w:kern w:val="0"/>
          <w:lang w:val="en-US"/>
          <w14:ligatures w14:val="none"/>
        </w:rPr>
        <w:t>Berberine Protects Cerebral Vessels and Alleviates Diabetic Encephalopathy by Inhibiting the Production of δ-Valerobetaine in the Gut Microbiota</w:t>
      </w:r>
    </w:p>
    <w:p w14:paraId="79141BD9" w14:textId="24BCBCB3" w:rsidR="00C315D2" w:rsidRPr="007C272B" w:rsidRDefault="00D50D48" w:rsidP="00DE7828">
      <w:pPr>
        <w:spacing w:after="0" w:line="240" w:lineRule="auto"/>
        <w:rPr>
          <w:rFonts w:ascii="Arial" w:eastAsia="Calibri" w:hAnsi="Arial" w:cs="Arial"/>
          <w:bCs/>
          <w:kern w:val="0"/>
          <w:sz w:val="20"/>
          <w:szCs w:val="20"/>
          <w:lang w:val="en-US"/>
          <w14:ligatures w14:val="none"/>
        </w:rPr>
      </w:pPr>
      <w:r w:rsidRPr="007C272B">
        <w:rPr>
          <w:rFonts w:ascii="Arial" w:eastAsia="Calibri" w:hAnsi="Arial" w:cs="Arial"/>
          <w:bCs/>
          <w:kern w:val="0"/>
          <w:sz w:val="20"/>
          <w:szCs w:val="20"/>
          <w:lang w:val="en-US"/>
          <w14:ligatures w14:val="none"/>
        </w:rPr>
        <w:t>Zheng-Wei Zhang</w:t>
      </w:r>
      <w:bookmarkStart w:id="0" w:name="_Hlk198043784"/>
      <w:r w:rsidR="00C315D2" w:rsidRPr="007C272B">
        <w:rPr>
          <w:rFonts w:ascii="Arial" w:eastAsia="Calibri" w:hAnsi="Arial" w:cs="Arial"/>
          <w:bCs/>
          <w:kern w:val="0"/>
          <w:sz w:val="20"/>
          <w:szCs w:val="20"/>
          <w:vertAlign w:val="superscript"/>
          <w:lang w:val="en-US"/>
          <w14:ligatures w14:val="none"/>
        </w:rPr>
        <w:t>1</w:t>
      </w:r>
      <w:bookmarkEnd w:id="0"/>
      <w:r w:rsidRPr="008C723F">
        <w:rPr>
          <w:rFonts w:ascii="Arial" w:eastAsia="Calibri" w:hAnsi="Arial" w:cs="Arial"/>
          <w:bCs/>
          <w:kern w:val="0"/>
          <w:sz w:val="20"/>
          <w:szCs w:val="20"/>
          <w14:ligatures w14:val="none"/>
        </w:rPr>
        <w:t>,</w:t>
      </w:r>
      <w:r w:rsidRPr="007C272B">
        <w:rPr>
          <w:rFonts w:ascii="Arial" w:eastAsia="Calibri" w:hAnsi="Arial" w:cs="Arial"/>
          <w:bCs/>
          <w:kern w:val="0"/>
          <w:sz w:val="20"/>
          <w:szCs w:val="20"/>
          <w:lang w:val="en-US"/>
          <w14:ligatures w14:val="none"/>
        </w:rPr>
        <w:t xml:space="preserve"> Wei-Ping Wang</w:t>
      </w:r>
      <w:r w:rsidR="009A65F1" w:rsidRPr="007C272B">
        <w:rPr>
          <w:rFonts w:ascii="Arial" w:eastAsia="Calibri" w:hAnsi="Arial" w:cs="Arial"/>
          <w:bCs/>
          <w:kern w:val="0"/>
          <w:sz w:val="20"/>
          <w:szCs w:val="20"/>
          <w:vertAlign w:val="superscript"/>
          <w:lang w:val="en-US"/>
          <w14:ligatures w14:val="none"/>
        </w:rPr>
        <w:t>1</w:t>
      </w:r>
      <w:r w:rsidR="007A5037" w:rsidRPr="008C723F">
        <w:rPr>
          <w:rFonts w:ascii="Arial" w:eastAsia="Calibri" w:hAnsi="Arial" w:cs="Arial"/>
          <w:bCs/>
          <w:kern w:val="0"/>
          <w:sz w:val="20"/>
          <w:szCs w:val="20"/>
          <w14:ligatures w14:val="none"/>
        </w:rPr>
        <w:t>,</w:t>
      </w:r>
      <w:r w:rsidRPr="008C723F">
        <w:rPr>
          <w:rFonts w:ascii="Arial" w:eastAsia="Calibri" w:hAnsi="Arial" w:cs="Arial"/>
          <w:bCs/>
          <w:kern w:val="0"/>
          <w:sz w:val="20"/>
          <w:szCs w:val="20"/>
          <w14:ligatures w14:val="none"/>
        </w:rPr>
        <w:t xml:space="preserve"> </w:t>
      </w:r>
      <w:r w:rsidRPr="007C272B">
        <w:rPr>
          <w:rFonts w:ascii="Arial" w:eastAsia="Calibri" w:hAnsi="Arial" w:cs="Arial"/>
          <w:bCs/>
          <w:kern w:val="0"/>
          <w:sz w:val="20"/>
          <w:szCs w:val="20"/>
          <w:lang w:val="en-US"/>
          <w14:ligatures w14:val="none"/>
        </w:rPr>
        <w:t>Jia-Chun Hu</w:t>
      </w:r>
      <w:r w:rsidR="009A65F1" w:rsidRPr="007C272B">
        <w:rPr>
          <w:rFonts w:ascii="Arial" w:eastAsia="Calibri" w:hAnsi="Arial" w:cs="Arial"/>
          <w:bCs/>
          <w:kern w:val="0"/>
          <w:sz w:val="20"/>
          <w:szCs w:val="20"/>
          <w:vertAlign w:val="superscript"/>
          <w:lang w:val="en-US"/>
          <w14:ligatures w14:val="none"/>
        </w:rPr>
        <w:t>1</w:t>
      </w:r>
      <w:r w:rsidRPr="007C272B">
        <w:rPr>
          <w:rFonts w:ascii="Arial" w:eastAsia="Calibri" w:hAnsi="Arial" w:cs="Arial"/>
          <w:bCs/>
          <w:kern w:val="0"/>
          <w:sz w:val="20"/>
          <w:szCs w:val="20"/>
          <w:lang w:val="en-US"/>
          <w14:ligatures w14:val="none"/>
        </w:rPr>
        <w:t>, Jin-Yue Lu</w:t>
      </w:r>
      <w:r w:rsidR="009A65F1" w:rsidRPr="007C272B">
        <w:rPr>
          <w:rFonts w:ascii="Arial" w:eastAsia="Calibri" w:hAnsi="Arial" w:cs="Arial"/>
          <w:bCs/>
          <w:kern w:val="0"/>
          <w:sz w:val="20"/>
          <w:szCs w:val="20"/>
          <w:vertAlign w:val="superscript"/>
          <w:lang w:val="en-US"/>
          <w14:ligatures w14:val="none"/>
        </w:rPr>
        <w:t>1</w:t>
      </w:r>
      <w:r w:rsidRPr="007C272B">
        <w:rPr>
          <w:rFonts w:ascii="Arial" w:eastAsia="Calibri" w:hAnsi="Arial" w:cs="Arial"/>
          <w:bCs/>
          <w:kern w:val="0"/>
          <w:sz w:val="20"/>
          <w:szCs w:val="20"/>
          <w:lang w:val="en-US"/>
          <w14:ligatures w14:val="none"/>
        </w:rPr>
        <w:t>,</w:t>
      </w:r>
      <w:r w:rsidR="007C272B" w:rsidRPr="007C272B">
        <w:t xml:space="preserve"> </w:t>
      </w:r>
      <w:r w:rsidR="007C272B" w:rsidRPr="007C272B">
        <w:rPr>
          <w:rFonts w:ascii="Arial" w:eastAsia="Calibri" w:hAnsi="Arial" w:cs="Arial"/>
          <w:bCs/>
          <w:kern w:val="0"/>
          <w:sz w:val="20"/>
          <w:szCs w:val="20"/>
          <w:lang w:val="en-US"/>
          <w14:ligatures w14:val="none"/>
        </w:rPr>
        <w:t>Shao-Feng Xu</w:t>
      </w:r>
      <w:r w:rsidR="007C272B" w:rsidRPr="007C272B">
        <w:rPr>
          <w:rFonts w:ascii="Arial" w:eastAsia="Calibri" w:hAnsi="Arial" w:cs="Arial"/>
          <w:bCs/>
          <w:kern w:val="0"/>
          <w:sz w:val="20"/>
          <w:szCs w:val="20"/>
          <w:vertAlign w:val="superscript"/>
          <w:lang w:val="en-US"/>
          <w14:ligatures w14:val="none"/>
        </w:rPr>
        <w:t>1</w:t>
      </w:r>
      <w:r w:rsidR="007C272B" w:rsidRPr="007C272B">
        <w:rPr>
          <w:rFonts w:ascii="Arial" w:eastAsia="等线" w:hAnsi="Arial" w:cs="Arial"/>
          <w:bCs/>
          <w:kern w:val="0"/>
          <w:sz w:val="20"/>
          <w:szCs w:val="20"/>
          <w:lang w:val="en-US" w:eastAsia="zh-CN"/>
          <w14:ligatures w14:val="none"/>
        </w:rPr>
        <w:t>,</w:t>
      </w:r>
      <w:r w:rsidR="00961B0B" w:rsidRPr="007C272B">
        <w:rPr>
          <w:rFonts w:ascii="Arial" w:hAnsi="Arial" w:cs="Arial"/>
          <w:lang w:val="en-US"/>
        </w:rPr>
        <w:t xml:space="preserve"> </w:t>
      </w:r>
      <w:r w:rsidR="00B50195" w:rsidRPr="007C272B">
        <w:rPr>
          <w:rFonts w:ascii="Arial" w:eastAsia="Calibri" w:hAnsi="Arial" w:cs="Arial"/>
          <w:bCs/>
          <w:kern w:val="0"/>
          <w:sz w:val="20"/>
          <w:szCs w:val="20"/>
          <w:lang w:val="en-US"/>
          <w14:ligatures w14:val="none"/>
        </w:rPr>
        <w:t>Ling Wang</w:t>
      </w:r>
      <w:bookmarkStart w:id="1" w:name="_Hlk199144219"/>
      <w:r w:rsidR="00DE7828" w:rsidRPr="007C272B">
        <w:rPr>
          <w:rFonts w:ascii="Arial" w:eastAsia="Calibri" w:hAnsi="Arial" w:cs="Arial"/>
          <w:bCs/>
          <w:kern w:val="0"/>
          <w:sz w:val="20"/>
          <w:szCs w:val="20"/>
          <w:vertAlign w:val="superscript"/>
          <w:lang w:val="en-US"/>
          <w14:ligatures w14:val="none"/>
        </w:rPr>
        <w:t>1</w:t>
      </w:r>
      <w:r w:rsidR="007A5037" w:rsidRPr="007C272B">
        <w:rPr>
          <w:rFonts w:ascii="Arial" w:eastAsia="等线" w:hAnsi="Arial" w:cs="Arial"/>
          <w:bCs/>
          <w:kern w:val="0"/>
          <w:sz w:val="20"/>
          <w:szCs w:val="20"/>
          <w:lang w:val="en-US" w:eastAsia="zh-CN"/>
          <w14:ligatures w14:val="none"/>
        </w:rPr>
        <w:t>,</w:t>
      </w:r>
      <w:r w:rsidR="00DE7828" w:rsidRPr="007C272B">
        <w:rPr>
          <w:rFonts w:ascii="Arial" w:eastAsia="Calibri" w:hAnsi="Arial" w:cs="Arial"/>
          <w:bCs/>
          <w:kern w:val="0"/>
          <w:sz w:val="20"/>
          <w:szCs w:val="20"/>
          <w:lang w:val="en-US"/>
          <w14:ligatures w14:val="none"/>
        </w:rPr>
        <w:t xml:space="preserve"> </w:t>
      </w:r>
      <w:bookmarkEnd w:id="1"/>
      <w:r w:rsidR="00961B0B" w:rsidRPr="007C272B">
        <w:rPr>
          <w:rFonts w:ascii="Arial" w:eastAsia="Calibri" w:hAnsi="Arial" w:cs="Arial"/>
          <w:bCs/>
          <w:kern w:val="0"/>
          <w:sz w:val="20"/>
          <w:szCs w:val="20"/>
          <w:lang w:val="en-US"/>
          <w14:ligatures w14:val="none"/>
        </w:rPr>
        <w:t>Xiao-Liang Wang</w:t>
      </w:r>
      <w:r w:rsidR="009A65F1" w:rsidRPr="007C272B">
        <w:rPr>
          <w:rFonts w:ascii="Arial" w:eastAsia="Calibri" w:hAnsi="Arial" w:cs="Arial"/>
          <w:bCs/>
          <w:kern w:val="0"/>
          <w:sz w:val="20"/>
          <w:szCs w:val="20"/>
          <w:vertAlign w:val="superscript"/>
          <w:lang w:val="en-US"/>
          <w14:ligatures w14:val="none"/>
        </w:rPr>
        <w:t>1,2</w:t>
      </w:r>
      <w:r w:rsidR="00961B0B" w:rsidRPr="007C272B">
        <w:rPr>
          <w:rFonts w:ascii="Arial" w:eastAsia="等线" w:hAnsi="Arial" w:cs="Arial"/>
          <w:bCs/>
          <w:kern w:val="0"/>
          <w:sz w:val="20"/>
          <w:szCs w:val="20"/>
          <w:lang w:val="en-US" w:eastAsia="zh-CN"/>
          <w14:ligatures w14:val="none"/>
        </w:rPr>
        <w:t>,</w:t>
      </w:r>
      <w:r w:rsidR="00961B0B" w:rsidRPr="007C272B">
        <w:rPr>
          <w:rFonts w:ascii="Arial" w:eastAsia="Calibri" w:hAnsi="Arial" w:cs="Arial"/>
          <w:bCs/>
          <w:kern w:val="0"/>
          <w:sz w:val="20"/>
          <w:szCs w:val="20"/>
          <w:lang w:val="en-US"/>
          <w14:ligatures w14:val="none"/>
        </w:rPr>
        <w:t xml:space="preserve"> Jian-Dong Jiang</w:t>
      </w:r>
      <w:r w:rsidR="00950F05" w:rsidRPr="007C272B">
        <w:rPr>
          <w:rFonts w:ascii="Arial" w:eastAsia="Calibri" w:hAnsi="Arial" w:cs="Arial"/>
          <w:bCs/>
          <w:kern w:val="0"/>
          <w:sz w:val="20"/>
          <w:szCs w:val="20"/>
          <w:vertAlign w:val="superscript"/>
          <w:lang w:val="en-US"/>
          <w14:ligatures w14:val="none"/>
        </w:rPr>
        <w:t>1</w:t>
      </w:r>
      <w:r w:rsidR="00961B0B" w:rsidRPr="008C723F">
        <w:rPr>
          <w:rFonts w:ascii="Arial" w:eastAsia="Calibri" w:hAnsi="Arial" w:cs="Arial"/>
          <w:bCs/>
          <w:kern w:val="0"/>
          <w:sz w:val="20"/>
          <w:szCs w:val="20"/>
          <w14:ligatures w14:val="none"/>
        </w:rPr>
        <w:t>,</w:t>
      </w:r>
      <w:r w:rsidR="00961B0B" w:rsidRPr="007C272B">
        <w:rPr>
          <w:rFonts w:ascii="Arial" w:eastAsia="Calibri" w:hAnsi="Arial" w:cs="Arial"/>
          <w:b/>
          <w:kern w:val="0"/>
          <w:sz w:val="20"/>
          <w:szCs w:val="20"/>
          <w:u w:val="single"/>
          <w:lang w:val="en-US"/>
          <w14:ligatures w14:val="none"/>
        </w:rPr>
        <w:t xml:space="preserve"> Yan Wang</w:t>
      </w:r>
      <w:r w:rsidR="00950F05" w:rsidRPr="007C272B">
        <w:rPr>
          <w:rFonts w:ascii="Arial" w:eastAsia="Calibri" w:hAnsi="Arial" w:cs="Arial"/>
          <w:b/>
          <w:kern w:val="0"/>
          <w:sz w:val="20"/>
          <w:szCs w:val="20"/>
          <w:u w:val="single"/>
          <w:vertAlign w:val="superscript"/>
          <w:lang w:val="en-US"/>
          <w14:ligatures w14:val="none"/>
        </w:rPr>
        <w:t>1</w:t>
      </w:r>
      <w:r w:rsidR="009A65F1" w:rsidRPr="008C723F">
        <w:rPr>
          <w:rFonts w:ascii="Arial" w:eastAsia="Calibri" w:hAnsi="Arial" w:cs="Arial"/>
          <w:bCs/>
          <w:kern w:val="0"/>
          <w:sz w:val="20"/>
          <w:szCs w:val="20"/>
          <w14:ligatures w14:val="none"/>
        </w:rPr>
        <w:t>.</w:t>
      </w:r>
    </w:p>
    <w:p w14:paraId="137D4547" w14:textId="3D122950" w:rsidR="00C315D2" w:rsidRPr="008C723F" w:rsidRDefault="00950F05" w:rsidP="4FE71DF4">
      <w:pPr>
        <w:spacing w:after="0" w:line="240" w:lineRule="auto"/>
        <w:rPr>
          <w:rFonts w:ascii="Arial" w:eastAsia="Calibri" w:hAnsi="Arial" w:cs="Arial"/>
          <w:bCs/>
          <w:kern w:val="0"/>
          <w:sz w:val="20"/>
          <w:szCs w:val="20"/>
          <w14:ligatures w14:val="none"/>
        </w:rPr>
      </w:pPr>
      <w:r w:rsidRPr="008C723F">
        <w:rPr>
          <w:rFonts w:ascii="Arial" w:eastAsia="Calibri" w:hAnsi="Arial" w:cs="Arial"/>
          <w:bCs/>
          <w:kern w:val="0"/>
          <w:sz w:val="20"/>
          <w:szCs w:val="20"/>
          <w14:ligatures w14:val="none"/>
        </w:rPr>
        <w:t>State Key Laboratory of Bioactive Substance and Function of Natural Medicines, Institute of Materia Medica, Chinese Academy of Medical Sciences &amp; Peking Union Medical College</w:t>
      </w:r>
      <w:r w:rsidRPr="008C723F">
        <w:rPr>
          <w:rFonts w:ascii="Arial" w:eastAsia="Calibri" w:hAnsi="Arial" w:cs="Arial"/>
          <w:bCs/>
          <w:kern w:val="0"/>
          <w:sz w:val="20"/>
          <w:szCs w:val="20"/>
          <w:vertAlign w:val="superscript"/>
          <w14:ligatures w14:val="none"/>
        </w:rPr>
        <w:t>1</w:t>
      </w:r>
      <w:r w:rsidRPr="008C723F">
        <w:rPr>
          <w:rFonts w:ascii="Arial" w:eastAsia="Calibri" w:hAnsi="Arial" w:cs="Arial"/>
          <w:bCs/>
          <w:kern w:val="0"/>
          <w:sz w:val="20"/>
          <w:szCs w:val="20"/>
          <w14:ligatures w14:val="none"/>
        </w:rPr>
        <w:t>, Beijing</w:t>
      </w:r>
      <w:r w:rsidR="00B7274C" w:rsidRPr="008C723F">
        <w:rPr>
          <w:rFonts w:ascii="Arial" w:eastAsia="Calibri" w:hAnsi="Arial" w:cs="Arial"/>
          <w:bCs/>
          <w:kern w:val="0"/>
          <w:sz w:val="20"/>
          <w:szCs w:val="20"/>
          <w14:ligatures w14:val="none"/>
        </w:rPr>
        <w:t>,</w:t>
      </w:r>
      <w:r w:rsidRPr="008C723F">
        <w:rPr>
          <w:rFonts w:ascii="Arial" w:eastAsia="Calibri" w:hAnsi="Arial" w:cs="Arial"/>
          <w:bCs/>
          <w:kern w:val="0"/>
          <w:sz w:val="20"/>
          <w:szCs w:val="20"/>
          <w14:ligatures w14:val="none"/>
        </w:rPr>
        <w:t xml:space="preserve"> China</w:t>
      </w:r>
      <w:r w:rsidR="00F539FB" w:rsidRPr="008C723F">
        <w:rPr>
          <w:rFonts w:ascii="Arial" w:eastAsia="Calibri" w:hAnsi="Arial" w:cs="Arial"/>
          <w:bCs/>
          <w:kern w:val="0"/>
          <w:sz w:val="20"/>
          <w:szCs w:val="20"/>
          <w14:ligatures w14:val="none"/>
        </w:rPr>
        <w:t>;</w:t>
      </w:r>
    </w:p>
    <w:p w14:paraId="47D76891" w14:textId="5B98BDC2" w:rsidR="00C315D2" w:rsidRPr="00C315D2" w:rsidRDefault="00470A0E" w:rsidP="4FE71DF4">
      <w:pPr>
        <w:spacing w:after="0" w:line="240" w:lineRule="auto"/>
        <w:rPr>
          <w:rFonts w:ascii="Arial" w:eastAsia="Calibri" w:hAnsi="Arial" w:cs="Calibri"/>
          <w:bCs/>
          <w:kern w:val="0"/>
          <w:sz w:val="20"/>
          <w:szCs w:val="20"/>
          <w14:ligatures w14:val="none"/>
        </w:rPr>
      </w:pPr>
      <w:r w:rsidRPr="008C723F">
        <w:rPr>
          <w:rFonts w:ascii="Arial" w:eastAsia="Calibri" w:hAnsi="Arial" w:cs="Arial"/>
          <w:bCs/>
          <w:kern w:val="0"/>
          <w:sz w:val="20"/>
          <w:szCs w:val="20"/>
          <w14:ligatures w14:val="none"/>
        </w:rPr>
        <w:t>State Key Laboratory of Druggability Evaluation and Systematic Translational Medicine</w:t>
      </w:r>
      <w:r w:rsidR="00C315D2" w:rsidRPr="008C723F">
        <w:rPr>
          <w:rFonts w:ascii="Arial" w:eastAsia="Calibri" w:hAnsi="Arial" w:cs="Arial"/>
          <w:bCs/>
          <w:kern w:val="0"/>
          <w:sz w:val="20"/>
          <w:szCs w:val="20"/>
          <w:vertAlign w:val="superscript"/>
          <w14:ligatures w14:val="none"/>
        </w:rPr>
        <w:t>2</w:t>
      </w:r>
      <w:r w:rsidR="00C315D2" w:rsidRPr="008C723F">
        <w:rPr>
          <w:rFonts w:ascii="Arial" w:eastAsia="Calibri" w:hAnsi="Arial" w:cs="Arial"/>
          <w:bCs/>
          <w:kern w:val="0"/>
          <w:sz w:val="20"/>
          <w:szCs w:val="20"/>
          <w14:ligatures w14:val="none"/>
        </w:rPr>
        <w:t xml:space="preserve">, </w:t>
      </w:r>
      <w:r w:rsidR="00B7274C" w:rsidRPr="008C723F">
        <w:rPr>
          <w:rFonts w:ascii="Arial" w:eastAsia="Calibri" w:hAnsi="Arial" w:cs="Arial"/>
          <w:bCs/>
          <w:kern w:val="0"/>
          <w:sz w:val="20"/>
          <w:szCs w:val="20"/>
          <w14:ligatures w14:val="none"/>
        </w:rPr>
        <w:t>Tianjin</w:t>
      </w:r>
      <w:r w:rsidR="00C315D2" w:rsidRPr="008C723F">
        <w:rPr>
          <w:rFonts w:ascii="Arial" w:eastAsia="Calibri" w:hAnsi="Arial" w:cs="Arial"/>
          <w:bCs/>
          <w:kern w:val="0"/>
          <w:sz w:val="20"/>
          <w:szCs w:val="20"/>
          <w14:ligatures w14:val="none"/>
        </w:rPr>
        <w:t xml:space="preserve">, </w:t>
      </w:r>
      <w:r w:rsidR="00B7274C" w:rsidRPr="008C723F">
        <w:rPr>
          <w:rFonts w:ascii="Arial" w:eastAsia="Calibri" w:hAnsi="Arial" w:cs="Arial"/>
          <w:kern w:val="0"/>
          <w:sz w:val="20"/>
          <w:szCs w:val="20"/>
          <w14:ligatures w14:val="none"/>
        </w:rPr>
        <w:t>China</w:t>
      </w:r>
      <w:r w:rsidR="00C315D2" w:rsidRPr="008C723F">
        <w:rPr>
          <w:rFonts w:ascii="Arial" w:eastAsia="Calibri" w:hAnsi="Arial" w:cs="Arial"/>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79381196"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321A8A" w:rsidRPr="00321A8A">
        <w:rPr>
          <w:rFonts w:ascii="Arial" w:eastAsia="Calibri" w:hAnsi="Arial" w:cs="Calibri"/>
          <w:bCs/>
          <w:kern w:val="0"/>
          <w:sz w:val="20"/>
          <w:szCs w:val="20"/>
          <w14:ligatures w14:val="none"/>
        </w:rPr>
        <w:t>Hyperglycemia in diabetes causes cognitive impairment, called diabetes encephalopathy (DE). Pathogenesis of DE closely relates to angiopathy and effective treatment is highly desirable. Botanic agent berberine (BBR) effectively lowers blood glucose in diabetic patients.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18EFB046"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0E5770">
        <w:rPr>
          <w:rFonts w:ascii="Arial" w:eastAsia="Calibri" w:hAnsi="Arial" w:cs="Calibri"/>
          <w:bCs/>
          <w:kern w:val="0"/>
          <w:sz w:val="20"/>
          <w:szCs w:val="20"/>
          <w14:ligatures w14:val="none"/>
        </w:rPr>
        <w:t xml:space="preserve"> </w:t>
      </w:r>
      <w:r w:rsidR="000E5770" w:rsidRPr="000E5770">
        <w:rPr>
          <w:rFonts w:ascii="Arial" w:eastAsia="Calibri" w:hAnsi="Arial" w:cs="Calibri"/>
          <w:bCs/>
          <w:kern w:val="0"/>
          <w:sz w:val="20"/>
          <w:szCs w:val="20"/>
          <w14:ligatures w14:val="none"/>
        </w:rPr>
        <w:t>The type 2 diabetic encephalopathy KK-Ay mice model and fluorescent micro-optical sectioning tomography (fMOST) were used to determine the efficacy of BBR in improving cognitive function and integrity of brain vessels. Fecal microbiota transplantation (FMT), targeted metabolomics, 16s rRNA gene sequencing analysis and western blot were performed to explore the underlying mechanisms of BBR protecting cerebrovascular vessels through gut microbiota.</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4641E228" w:rsidR="00C315D2" w:rsidRPr="00C315D2" w:rsidRDefault="009D464C" w:rsidP="2021B9E9">
      <w:pPr>
        <w:spacing w:after="0" w:line="240" w:lineRule="auto"/>
        <w:jc w:val="both"/>
        <w:rPr>
          <w:rFonts w:ascii="Arial" w:eastAsia="Calibri" w:hAnsi="Arial" w:cs="Calibri"/>
          <w:kern w:val="0"/>
          <w:sz w:val="20"/>
          <w:szCs w:val="20"/>
          <w:lang w:val="en-US"/>
          <w14:ligatures w14:val="none"/>
        </w:rPr>
      </w:pPr>
      <w:r>
        <w:rPr>
          <w:noProof/>
        </w:rPr>
        <w:drawing>
          <wp:anchor distT="0" distB="0" distL="114300" distR="114300" simplePos="0" relativeHeight="251658240" behindDoc="0" locked="0" layoutInCell="1" allowOverlap="1" wp14:anchorId="348E85BF" wp14:editId="412E2B22">
            <wp:simplePos x="0" y="0"/>
            <wp:positionH relativeFrom="column">
              <wp:posOffset>1569720</wp:posOffset>
            </wp:positionH>
            <wp:positionV relativeFrom="paragraph">
              <wp:posOffset>1928514</wp:posOffset>
            </wp:positionV>
            <wp:extent cx="2797175" cy="3314700"/>
            <wp:effectExtent l="0" t="0" r="3175" b="0"/>
            <wp:wrapTopAndBottom/>
            <wp:docPr id="1609093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7175"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378"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A23FB9" w:rsidRPr="00A23FB9">
        <w:rPr>
          <w:rFonts w:ascii="Arial" w:eastAsia="Calibri" w:hAnsi="Arial" w:cs="Calibri"/>
          <w:kern w:val="0"/>
          <w:sz w:val="20"/>
          <w:szCs w:val="20"/>
          <w:lang w:val="en-US"/>
          <w14:ligatures w14:val="none"/>
        </w:rPr>
        <w:t>We showed for the first time that BBR significantly improved cognitive function in DE mice. High-resolution imagining by fMOST revealed that integrity of brain vessels was improved by BBR treatment. The improvements of average vessel diameter, vessel length, and total vessel volume were significant in the PtA, as well as in the CA1 and CA3 regions. Mechanism study showed that oral BBR inhibited δ-valerobetaine (δ-VB, a metabolite of gut microbiota) production in the intestine. As the intestinal δ-VB could enter circulation and activate the TLR-4/MyD88/NF-κB inflammatory pathway in epithelial cells of blood vessels through interacting with TLR-4, BBR might reduce the intestinal level of δ-VB to protect the cerebral blood vessels of DE mice and improved their brain function. FMT using the gut microbiota from BBR-treated mice confirmed the vital role of gut microbiota. With a wide-ranging action on gut flora, BBR also increased short-chain fatty acids (SCFAs) production and decreased lipopolysaccharide (LPS) in the intestine via adjusting the abundance of SCFAs- or LPS-producing bacterial. The observed therapeutic efficacy in vivo represented a synergistic effect of BBR on gut microbiota.</w:t>
      </w:r>
    </w:p>
    <w:p w14:paraId="44719324" w14:textId="2A6B15EA" w:rsidR="00C315D2" w:rsidRPr="00936D4C" w:rsidRDefault="00C315D2" w:rsidP="004C4DBB">
      <w:pPr>
        <w:spacing w:after="0" w:line="240" w:lineRule="auto"/>
        <w:jc w:val="center"/>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B06189" w:rsidRPr="00E864DA">
        <w:rPr>
          <w:rFonts w:ascii="Arial" w:eastAsia="Calibri" w:hAnsi="Arial" w:cs="Calibri" w:hint="eastAsia"/>
          <w:bCs/>
          <w:kern w:val="0"/>
          <w:sz w:val="20"/>
          <w:szCs w:val="20"/>
          <w14:ligatures w14:val="none"/>
        </w:rPr>
        <w:t>Graphic</w:t>
      </w:r>
      <w:r w:rsidR="00B06189" w:rsidRPr="00E864DA">
        <w:rPr>
          <w:rFonts w:ascii="Arial" w:eastAsia="Calibri" w:hAnsi="Arial" w:cs="Calibri"/>
          <w:bCs/>
          <w:kern w:val="0"/>
          <w:sz w:val="20"/>
          <w:szCs w:val="20"/>
          <w14:ligatures w14:val="none"/>
        </w:rPr>
        <w:t xml:space="preserve"> </w:t>
      </w:r>
      <w:r w:rsidR="00B06189" w:rsidRPr="00E864DA">
        <w:rPr>
          <w:rFonts w:ascii="Arial" w:eastAsia="Calibri" w:hAnsi="Arial" w:cs="Calibri" w:hint="eastAsia"/>
          <w:bCs/>
          <w:kern w:val="0"/>
          <w:sz w:val="20"/>
          <w:szCs w:val="20"/>
          <w14:ligatures w14:val="none"/>
        </w:rPr>
        <w:t>abstract</w:t>
      </w:r>
      <w:r w:rsidRPr="00E864DA">
        <w:rPr>
          <w:rFonts w:ascii="Arial" w:eastAsia="Calibri" w:hAnsi="Arial" w:cs="Calibri"/>
          <w:bCs/>
          <w:kern w:val="0"/>
          <w:sz w:val="20"/>
          <w:szCs w:val="20"/>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2F46E856"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FC07E4" w:rsidRPr="00FC07E4">
        <w:rPr>
          <w:rFonts w:ascii="Arial" w:eastAsia="Calibri" w:hAnsi="Arial" w:cs="Calibri"/>
          <w:bCs/>
          <w:kern w:val="0"/>
          <w:sz w:val="20"/>
          <w:szCs w:val="20"/>
          <w14:ligatures w14:val="none"/>
        </w:rPr>
        <w:t>Our findings revealed an association between gut microbiota and blood vessels, of which intestinal δ- VB might be a chemical link. Mainly working through down-regulating δ-VB in the intestine, BBR protected cerebral vessels and alleviated DE.</w:t>
      </w:r>
    </w:p>
    <w:sectPr w:rsidR="00C315D2" w:rsidRPr="00C315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E1AA5" w14:textId="77777777" w:rsidR="0070394C" w:rsidRDefault="0070394C" w:rsidP="002929E8">
      <w:pPr>
        <w:spacing w:after="0" w:line="240" w:lineRule="auto"/>
      </w:pPr>
      <w:r>
        <w:separator/>
      </w:r>
    </w:p>
  </w:endnote>
  <w:endnote w:type="continuationSeparator" w:id="0">
    <w:p w14:paraId="0DF4A081" w14:textId="77777777" w:rsidR="0070394C" w:rsidRDefault="0070394C" w:rsidP="002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B8EA1" w14:textId="77777777" w:rsidR="0070394C" w:rsidRDefault="0070394C" w:rsidP="002929E8">
      <w:pPr>
        <w:spacing w:after="0" w:line="240" w:lineRule="auto"/>
      </w:pPr>
      <w:r>
        <w:separator/>
      </w:r>
    </w:p>
  </w:footnote>
  <w:footnote w:type="continuationSeparator" w:id="0">
    <w:p w14:paraId="02BD8570" w14:textId="77777777" w:rsidR="0070394C" w:rsidRDefault="0070394C" w:rsidP="00292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4CFC"/>
    <w:rsid w:val="000E5770"/>
    <w:rsid w:val="00107368"/>
    <w:rsid w:val="00113BB7"/>
    <w:rsid w:val="002017E6"/>
    <w:rsid w:val="002929E8"/>
    <w:rsid w:val="00294059"/>
    <w:rsid w:val="003206E4"/>
    <w:rsid w:val="00321A8A"/>
    <w:rsid w:val="0034539C"/>
    <w:rsid w:val="003A6D5C"/>
    <w:rsid w:val="00470A0E"/>
    <w:rsid w:val="004A51B6"/>
    <w:rsid w:val="004C4DBB"/>
    <w:rsid w:val="00510CF8"/>
    <w:rsid w:val="00575A29"/>
    <w:rsid w:val="00601754"/>
    <w:rsid w:val="006A34BE"/>
    <w:rsid w:val="006F3F1C"/>
    <w:rsid w:val="0070394C"/>
    <w:rsid w:val="007141F2"/>
    <w:rsid w:val="007561D8"/>
    <w:rsid w:val="00795378"/>
    <w:rsid w:val="00796206"/>
    <w:rsid w:val="007A5037"/>
    <w:rsid w:val="007B6887"/>
    <w:rsid w:val="007C272B"/>
    <w:rsid w:val="007C367E"/>
    <w:rsid w:val="008071C5"/>
    <w:rsid w:val="008C723F"/>
    <w:rsid w:val="00906D34"/>
    <w:rsid w:val="00933DC9"/>
    <w:rsid w:val="00936D4C"/>
    <w:rsid w:val="00950F05"/>
    <w:rsid w:val="009523F9"/>
    <w:rsid w:val="00961B0B"/>
    <w:rsid w:val="009650DF"/>
    <w:rsid w:val="009A65F1"/>
    <w:rsid w:val="009B1CBB"/>
    <w:rsid w:val="009D464C"/>
    <w:rsid w:val="00A0516D"/>
    <w:rsid w:val="00A23FB9"/>
    <w:rsid w:val="00AE56E6"/>
    <w:rsid w:val="00B06189"/>
    <w:rsid w:val="00B4721D"/>
    <w:rsid w:val="00B50195"/>
    <w:rsid w:val="00B7274C"/>
    <w:rsid w:val="00B8473A"/>
    <w:rsid w:val="00C21815"/>
    <w:rsid w:val="00C315D2"/>
    <w:rsid w:val="00C353D8"/>
    <w:rsid w:val="00C354F6"/>
    <w:rsid w:val="00C913CD"/>
    <w:rsid w:val="00CD3E32"/>
    <w:rsid w:val="00CF226F"/>
    <w:rsid w:val="00CF5A91"/>
    <w:rsid w:val="00D02BB1"/>
    <w:rsid w:val="00D45A74"/>
    <w:rsid w:val="00D50D48"/>
    <w:rsid w:val="00D7428F"/>
    <w:rsid w:val="00D94EFF"/>
    <w:rsid w:val="00DE31D2"/>
    <w:rsid w:val="00DE7828"/>
    <w:rsid w:val="00E864DA"/>
    <w:rsid w:val="00EC3746"/>
    <w:rsid w:val="00EF1A02"/>
    <w:rsid w:val="00F03A44"/>
    <w:rsid w:val="00F227B5"/>
    <w:rsid w:val="00F539FB"/>
    <w:rsid w:val="00F85528"/>
    <w:rsid w:val="00FC07E4"/>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315D2"/>
    <w:rPr>
      <w:rFonts w:eastAsiaTheme="majorEastAsia" w:cstheme="majorBidi"/>
      <w:i/>
      <w:iCs/>
      <w:color w:val="0F4761" w:themeColor="accent1" w:themeShade="BF"/>
    </w:rPr>
  </w:style>
  <w:style w:type="character" w:customStyle="1" w:styleId="50">
    <w:name w:val="标题 5 字符"/>
    <w:basedOn w:val="a0"/>
    <w:link w:val="5"/>
    <w:uiPriority w:val="9"/>
    <w:semiHidden/>
    <w:rsid w:val="00C315D2"/>
    <w:rPr>
      <w:rFonts w:eastAsiaTheme="majorEastAsia" w:cstheme="majorBidi"/>
      <w:color w:val="0F4761" w:themeColor="accent1" w:themeShade="BF"/>
    </w:rPr>
  </w:style>
  <w:style w:type="character" w:customStyle="1" w:styleId="60">
    <w:name w:val="标题 6 字符"/>
    <w:basedOn w:val="a0"/>
    <w:link w:val="6"/>
    <w:uiPriority w:val="9"/>
    <w:semiHidden/>
    <w:rsid w:val="00C315D2"/>
    <w:rPr>
      <w:rFonts w:eastAsiaTheme="majorEastAsia" w:cstheme="majorBidi"/>
      <w:i/>
      <w:iCs/>
      <w:color w:val="595959" w:themeColor="text1" w:themeTint="A6"/>
    </w:rPr>
  </w:style>
  <w:style w:type="character" w:customStyle="1" w:styleId="70">
    <w:name w:val="标题 7 字符"/>
    <w:basedOn w:val="a0"/>
    <w:link w:val="7"/>
    <w:uiPriority w:val="9"/>
    <w:semiHidden/>
    <w:rsid w:val="00C315D2"/>
    <w:rPr>
      <w:rFonts w:eastAsiaTheme="majorEastAsia" w:cstheme="majorBidi"/>
      <w:color w:val="595959" w:themeColor="text1" w:themeTint="A6"/>
    </w:rPr>
  </w:style>
  <w:style w:type="character" w:customStyle="1" w:styleId="80">
    <w:name w:val="标题 8 字符"/>
    <w:basedOn w:val="a0"/>
    <w:link w:val="8"/>
    <w:uiPriority w:val="9"/>
    <w:semiHidden/>
    <w:rsid w:val="00C315D2"/>
    <w:rPr>
      <w:rFonts w:eastAsiaTheme="majorEastAsia" w:cstheme="majorBidi"/>
      <w:i/>
      <w:iCs/>
      <w:color w:val="272727" w:themeColor="text1" w:themeTint="D8"/>
    </w:rPr>
  </w:style>
  <w:style w:type="character" w:customStyle="1" w:styleId="90">
    <w:name w:val="标题 9 字符"/>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 字符"/>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aa">
    <w:name w:val="Intense Emphasis"/>
    <w:basedOn w:val="a0"/>
    <w:uiPriority w:val="21"/>
    <w:qFormat/>
    <w:rsid w:val="00C315D2"/>
    <w:rPr>
      <w:i/>
      <w:iCs/>
      <w:color w:val="0F4761" w:themeColor="accent1" w:themeShade="BF"/>
    </w:rPr>
  </w:style>
  <w:style w:type="paragraph" w:styleId="ab">
    <w:name w:val="Intense Quote"/>
    <w:basedOn w:val="a"/>
    <w:next w:val="a"/>
    <w:link w:val="ac"/>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315D2"/>
    <w:rPr>
      <w:i/>
      <w:iCs/>
      <w:color w:val="0F4761" w:themeColor="accent1" w:themeShade="BF"/>
    </w:rPr>
  </w:style>
  <w:style w:type="character" w:styleId="ad">
    <w:name w:val="Intense Reference"/>
    <w:basedOn w:val="a0"/>
    <w:uiPriority w:val="32"/>
    <w:qFormat/>
    <w:rsid w:val="00C315D2"/>
    <w:rPr>
      <w:b/>
      <w:bCs/>
      <w:smallCaps/>
      <w:color w:val="0F4761" w:themeColor="accent1" w:themeShade="BF"/>
      <w:spacing w:val="5"/>
    </w:rPr>
  </w:style>
  <w:style w:type="paragraph" w:styleId="ae">
    <w:name w:val="header"/>
    <w:basedOn w:val="a"/>
    <w:link w:val="af"/>
    <w:uiPriority w:val="99"/>
    <w:unhideWhenUsed/>
    <w:rsid w:val="002929E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929E8"/>
    <w:rPr>
      <w:sz w:val="18"/>
      <w:szCs w:val="18"/>
    </w:rPr>
  </w:style>
  <w:style w:type="paragraph" w:styleId="af0">
    <w:name w:val="footer"/>
    <w:basedOn w:val="a"/>
    <w:link w:val="af1"/>
    <w:uiPriority w:val="99"/>
    <w:unhideWhenUsed/>
    <w:rsid w:val="002929E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929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Yi Zhao (赵一)</cp:lastModifiedBy>
  <cp:revision>13</cp:revision>
  <dcterms:created xsi:type="dcterms:W3CDTF">2025-05-16T11:32:00Z</dcterms:created>
  <dcterms:modified xsi:type="dcterms:W3CDTF">2025-05-26T01:30:00Z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