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CCA93" w14:textId="4194C9AF" w:rsidR="00711813" w:rsidRPr="00DF1C8E" w:rsidRDefault="009856DB" w:rsidP="009A4CFF">
      <w:pPr>
        <w:ind w:left="284" w:right="282"/>
        <w:jc w:val="center"/>
        <w:rPr>
          <w:rFonts w:ascii="Calibri" w:hAnsi="Calibri" w:cs="Calibri"/>
          <w:b/>
          <w:sz w:val="28"/>
          <w:szCs w:val="28"/>
          <w:lang w:val="en-AU"/>
        </w:rPr>
      </w:pPr>
      <w:bookmarkStart w:id="0" w:name="_GoBack"/>
      <w:r>
        <w:rPr>
          <w:rFonts w:ascii="Calibri" w:hAnsi="Calibri" w:cs="Calibri"/>
          <w:b/>
          <w:sz w:val="28"/>
          <w:szCs w:val="28"/>
          <w:lang w:val="en-AU"/>
        </w:rPr>
        <w:t xml:space="preserve">Microfluidic multimolecular delivery for </w:t>
      </w:r>
      <w:r w:rsidR="007F65C9">
        <w:rPr>
          <w:rFonts w:ascii="Calibri" w:hAnsi="Calibri" w:cs="Calibri"/>
          <w:b/>
          <w:sz w:val="28"/>
          <w:szCs w:val="28"/>
          <w:lang w:val="en-AU"/>
        </w:rPr>
        <w:t>personalized medicine</w:t>
      </w:r>
    </w:p>
    <w:bookmarkEnd w:id="0"/>
    <w:p w14:paraId="57C45AC5" w14:textId="77777777" w:rsidR="00DF1C8E" w:rsidRDefault="00DF1C8E" w:rsidP="009A4CFF">
      <w:pPr>
        <w:ind w:left="284" w:right="282"/>
        <w:jc w:val="both"/>
        <w:rPr>
          <w:rFonts w:ascii="Calibri" w:hAnsi="Calibri" w:cs="Calibri"/>
          <w:sz w:val="20"/>
          <w:szCs w:val="20"/>
          <w:lang w:val="en-AU"/>
        </w:rPr>
      </w:pPr>
    </w:p>
    <w:p w14:paraId="22DB1634" w14:textId="77D2C301" w:rsidR="00DF1C8E" w:rsidRPr="005F19FF" w:rsidRDefault="009856DB" w:rsidP="009A4CFF">
      <w:pPr>
        <w:ind w:left="284" w:right="282"/>
        <w:jc w:val="center"/>
        <w:rPr>
          <w:rFonts w:ascii="Calibri" w:hAnsi="Calibri" w:cs="Calibri"/>
          <w:i/>
          <w:lang w:val="en-AU"/>
        </w:rPr>
      </w:pPr>
      <w:r>
        <w:rPr>
          <w:rFonts w:ascii="Calibri" w:hAnsi="Calibri" w:cs="Calibri"/>
          <w:i/>
          <w:lang w:val="en-AU"/>
        </w:rPr>
        <w:t>Sung-</w:t>
      </w:r>
      <w:proofErr w:type="spellStart"/>
      <w:r>
        <w:rPr>
          <w:rFonts w:ascii="Calibri" w:hAnsi="Calibri" w:cs="Calibri"/>
          <w:i/>
          <w:lang w:val="en-AU"/>
        </w:rPr>
        <w:t>Eun</w:t>
      </w:r>
      <w:proofErr w:type="spellEnd"/>
      <w:r>
        <w:rPr>
          <w:rFonts w:ascii="Calibri" w:hAnsi="Calibri" w:cs="Calibri"/>
          <w:i/>
          <w:lang w:val="en-AU"/>
        </w:rPr>
        <w:t xml:space="preserve"> Choi, </w:t>
      </w:r>
      <w:proofErr w:type="spellStart"/>
      <w:r>
        <w:rPr>
          <w:rFonts w:ascii="Calibri" w:hAnsi="Calibri" w:cs="Calibri"/>
          <w:i/>
          <w:lang w:val="en-AU"/>
        </w:rPr>
        <w:t>Srivathsan</w:t>
      </w:r>
      <w:proofErr w:type="spellEnd"/>
      <w:r>
        <w:rPr>
          <w:rFonts w:ascii="Calibri" w:hAnsi="Calibri" w:cs="Calibri"/>
          <w:i/>
          <w:lang w:val="en-AU"/>
        </w:rPr>
        <w:t xml:space="preserve"> Kalyan, </w:t>
      </w:r>
      <w:r w:rsidR="0076190A">
        <w:rPr>
          <w:rFonts w:ascii="Calibri" w:hAnsi="Calibri" w:cs="Calibri"/>
          <w:i/>
          <w:lang w:val="en-AU"/>
        </w:rPr>
        <w:t xml:space="preserve">Hyun Woo Sung, and </w:t>
      </w:r>
      <w:proofErr w:type="spellStart"/>
      <w:r w:rsidR="0076190A">
        <w:rPr>
          <w:rFonts w:ascii="Calibri" w:hAnsi="Calibri" w:cs="Calibri"/>
          <w:i/>
          <w:lang w:val="en-AU"/>
        </w:rPr>
        <w:t>Soojung</w:t>
      </w:r>
      <w:proofErr w:type="spellEnd"/>
      <w:r w:rsidR="0076190A">
        <w:rPr>
          <w:rFonts w:ascii="Calibri" w:hAnsi="Calibri" w:cs="Calibri"/>
          <w:i/>
          <w:lang w:val="en-AU"/>
        </w:rPr>
        <w:t xml:space="preserve"> Claire Hur</w:t>
      </w:r>
    </w:p>
    <w:p w14:paraId="31479071" w14:textId="77777777" w:rsidR="00997C34" w:rsidRDefault="00997C34" w:rsidP="009A4CFF">
      <w:pPr>
        <w:ind w:left="284" w:right="282"/>
        <w:jc w:val="center"/>
        <w:rPr>
          <w:rFonts w:ascii="Calibri" w:hAnsi="Calibri" w:cs="Calibri"/>
          <w:sz w:val="22"/>
          <w:szCs w:val="22"/>
          <w:vertAlign w:val="superscript"/>
          <w:lang w:val="en-AU"/>
        </w:rPr>
      </w:pPr>
    </w:p>
    <w:p w14:paraId="49EF8C2D" w14:textId="1481C495" w:rsidR="00711813" w:rsidRPr="006B3866" w:rsidRDefault="00637516" w:rsidP="009A4CFF">
      <w:pPr>
        <w:ind w:left="284" w:right="282"/>
        <w:jc w:val="center"/>
        <w:rPr>
          <w:rFonts w:ascii="Calibri" w:hAnsi="Calibri" w:cs="Calibri"/>
          <w:sz w:val="22"/>
          <w:szCs w:val="22"/>
          <w:lang w:val="en-AU"/>
        </w:rPr>
      </w:pPr>
      <w:proofErr w:type="spellStart"/>
      <w:r w:rsidRPr="00637516">
        <w:rPr>
          <w:rFonts w:ascii="Calibri" w:hAnsi="Calibri" w:cs="Calibri"/>
          <w:sz w:val="22"/>
          <w:szCs w:val="22"/>
          <w:vertAlign w:val="superscript"/>
          <w:lang w:val="en-AU"/>
        </w:rPr>
        <w:t>A</w:t>
      </w:r>
      <w:r w:rsidR="0076190A">
        <w:rPr>
          <w:rFonts w:ascii="Calibri" w:hAnsi="Calibri" w:cs="Calibri"/>
          <w:sz w:val="22"/>
          <w:szCs w:val="22"/>
          <w:lang w:val="en-AU"/>
        </w:rPr>
        <w:t>Department</w:t>
      </w:r>
      <w:proofErr w:type="spellEnd"/>
      <w:r w:rsidR="0076190A">
        <w:rPr>
          <w:rFonts w:ascii="Calibri" w:hAnsi="Calibri" w:cs="Calibri"/>
          <w:sz w:val="22"/>
          <w:szCs w:val="22"/>
          <w:lang w:val="en-AU"/>
        </w:rPr>
        <w:t xml:space="preserve"> of Mechanical Engineering</w:t>
      </w:r>
      <w:r w:rsidR="00711813" w:rsidRPr="006B3866">
        <w:rPr>
          <w:rFonts w:ascii="Calibri" w:hAnsi="Calibri" w:cs="Calibri"/>
          <w:sz w:val="22"/>
          <w:szCs w:val="22"/>
          <w:lang w:val="en-AU"/>
        </w:rPr>
        <w:t xml:space="preserve">, </w:t>
      </w:r>
      <w:r w:rsidR="0076190A">
        <w:rPr>
          <w:rFonts w:ascii="Calibri" w:hAnsi="Calibri" w:cs="Calibri"/>
          <w:sz w:val="22"/>
          <w:szCs w:val="22"/>
          <w:lang w:val="en-AU"/>
        </w:rPr>
        <w:t>Johns Hopkins University</w:t>
      </w:r>
      <w:r w:rsidR="00711813" w:rsidRPr="006B3866">
        <w:rPr>
          <w:rFonts w:ascii="Calibri" w:hAnsi="Calibri" w:cs="Calibri"/>
          <w:sz w:val="22"/>
          <w:szCs w:val="22"/>
          <w:lang w:val="en-AU"/>
        </w:rPr>
        <w:t xml:space="preserve">, </w:t>
      </w:r>
      <w:r w:rsidR="0076190A">
        <w:rPr>
          <w:rFonts w:ascii="Calibri" w:hAnsi="Calibri" w:cs="Calibri"/>
          <w:sz w:val="22"/>
          <w:szCs w:val="22"/>
          <w:lang w:val="en-AU"/>
        </w:rPr>
        <w:t>Baltimore, USA</w:t>
      </w:r>
    </w:p>
    <w:p w14:paraId="05E17889" w14:textId="38F08F16" w:rsidR="00711813" w:rsidRPr="006B3866" w:rsidRDefault="00711813" w:rsidP="009A4CFF">
      <w:pPr>
        <w:pStyle w:val="Default"/>
        <w:ind w:left="284" w:right="282"/>
        <w:jc w:val="both"/>
        <w:rPr>
          <w:color w:val="auto"/>
          <w:sz w:val="22"/>
          <w:szCs w:val="22"/>
          <w:lang w:val="en-AU"/>
        </w:rPr>
      </w:pPr>
      <w:r w:rsidRPr="006B3866">
        <w:rPr>
          <w:i/>
          <w:color w:val="auto"/>
          <w:sz w:val="22"/>
          <w:szCs w:val="22"/>
        </w:rPr>
        <w:t xml:space="preserve"> </w:t>
      </w:r>
    </w:p>
    <w:p w14:paraId="35D9DF9C" w14:textId="5AFC441B" w:rsidR="00711813" w:rsidRPr="00721F60" w:rsidRDefault="00711813" w:rsidP="00624AF3">
      <w:pPr>
        <w:spacing w:after="120"/>
        <w:ind w:left="288" w:right="288"/>
        <w:jc w:val="both"/>
        <w:rPr>
          <w:rFonts w:ascii="Calibri" w:hAnsi="Calibri" w:cs="Calibri"/>
          <w:sz w:val="22"/>
          <w:szCs w:val="22"/>
          <w:lang w:val="en-AU"/>
        </w:rPr>
      </w:pPr>
      <w:r w:rsidRPr="00447188">
        <w:rPr>
          <w:rFonts w:ascii="Calibri" w:hAnsi="Calibri" w:cs="Calibri"/>
          <w:b/>
          <w:bCs/>
          <w:sz w:val="22"/>
          <w:szCs w:val="22"/>
          <w:lang w:val="en-AU"/>
        </w:rPr>
        <w:t>Introduction</w:t>
      </w:r>
      <w:r w:rsidR="00447188">
        <w:rPr>
          <w:rFonts w:ascii="Calibri" w:hAnsi="Calibri" w:cs="Calibri"/>
          <w:sz w:val="22"/>
          <w:szCs w:val="22"/>
          <w:lang w:val="en-AU"/>
        </w:rPr>
        <w:t xml:space="preserve"> </w:t>
      </w:r>
      <w:r w:rsidR="00721F60" w:rsidRPr="00721F60">
        <w:rPr>
          <w:rFonts w:ascii="Calibri" w:hAnsi="Calibri" w:cs="Calibri"/>
          <w:sz w:val="22"/>
          <w:szCs w:val="22"/>
          <w:lang w:val="en-AU"/>
        </w:rPr>
        <w:t xml:space="preserve">Variation in treatment responses remains a formidable obstacle when selecting ideal therapies for individuals suffering from various diseases. Although systematic and quantitative assays performed directly on cells harvested from the patient are ideal to tailor treatment plans and to unveil factors conferring interpatient variability in drug responses, the requirement for primary cell assays poses a particular challenge for translation into the clinic because collection, testing, and manipulation of these fragile and rare cells are costly, time-consuming, and </w:t>
      </w:r>
      <w:r w:rsidR="007F65C9" w:rsidRPr="00721F60">
        <w:rPr>
          <w:rFonts w:ascii="Calibri" w:hAnsi="Calibri" w:cs="Calibri"/>
          <w:sz w:val="22"/>
          <w:szCs w:val="22"/>
          <w:lang w:val="en-AU"/>
        </w:rPr>
        <w:t>labour-intensive</w:t>
      </w:r>
      <w:r w:rsidR="00721F60" w:rsidRPr="00721F60">
        <w:rPr>
          <w:rFonts w:ascii="Calibri" w:hAnsi="Calibri" w:cs="Calibri"/>
          <w:sz w:val="22"/>
          <w:szCs w:val="22"/>
          <w:lang w:val="en-AU"/>
        </w:rPr>
        <w:t xml:space="preserve">. To address </w:t>
      </w:r>
      <w:r w:rsidR="007F65C9" w:rsidRPr="00721F60">
        <w:rPr>
          <w:rFonts w:ascii="Calibri" w:hAnsi="Calibri" w:cs="Calibri"/>
          <w:sz w:val="22"/>
          <w:szCs w:val="22"/>
          <w:lang w:val="en-AU"/>
        </w:rPr>
        <w:t>these shortcomings</w:t>
      </w:r>
      <w:r w:rsidR="00721F60" w:rsidRPr="00721F60">
        <w:rPr>
          <w:rFonts w:ascii="Calibri" w:hAnsi="Calibri" w:cs="Calibri"/>
          <w:sz w:val="22"/>
          <w:szCs w:val="22"/>
          <w:lang w:val="en-AU"/>
        </w:rPr>
        <w:t>, we developed the therapeutic agent screening microfluidic electroporator (THEME), capable of performing combinatorial drug screenings directly on cells purified from blood in integrated sequential steps.</w:t>
      </w:r>
    </w:p>
    <w:p w14:paraId="70330504" w14:textId="18298234" w:rsidR="00711813" w:rsidRPr="007F65C9" w:rsidRDefault="00711813" w:rsidP="00624AF3">
      <w:pPr>
        <w:spacing w:after="120"/>
        <w:ind w:left="288" w:right="288"/>
        <w:jc w:val="both"/>
        <w:rPr>
          <w:rFonts w:ascii="Calibri" w:hAnsi="Calibri" w:cs="Calibri"/>
          <w:lang w:val="en-AU"/>
        </w:rPr>
      </w:pPr>
      <w:r w:rsidRPr="000A6D19">
        <w:rPr>
          <w:rFonts w:ascii="Calibri" w:hAnsi="Calibri" w:cs="Calibri"/>
          <w:b/>
          <w:bCs/>
          <w:lang w:val="en-AU"/>
        </w:rPr>
        <w:t>Methods</w:t>
      </w:r>
      <w:r w:rsidR="007F65C9">
        <w:rPr>
          <w:rFonts w:ascii="Calibri" w:hAnsi="Calibri" w:cs="Calibri"/>
          <w:b/>
          <w:bCs/>
          <w:lang w:val="en-AU"/>
        </w:rPr>
        <w:t xml:space="preserve"> </w:t>
      </w:r>
      <w:r w:rsidR="007F65C9" w:rsidRPr="00624AF3">
        <w:rPr>
          <w:rFonts w:ascii="Calibri" w:hAnsi="Calibri" w:cs="Calibri"/>
          <w:sz w:val="22"/>
          <w:szCs w:val="22"/>
          <w:lang w:val="en-AU"/>
        </w:rPr>
        <w:t>THEME was constructed by integrating previously developed vortex-mediated cancer cell purification mechanism</w:t>
      </w:r>
      <w:r w:rsidR="00624AF3">
        <w:rPr>
          <w:rFonts w:ascii="Calibri" w:hAnsi="Calibri" w:cs="Calibri"/>
          <w:sz w:val="22"/>
          <w:szCs w:val="22"/>
        </w:rPr>
        <w:fldChar w:fldCharType="begin"/>
      </w:r>
      <w:r w:rsidR="00624AF3">
        <w:rPr>
          <w:rFonts w:ascii="Calibri" w:hAnsi="Calibri" w:cs="Calibri"/>
          <w:sz w:val="22"/>
          <w:szCs w:val="22"/>
        </w:rPr>
        <w:instrText xml:space="preserve"> ADDIN PAPERS2_CITATIONS &lt;citation&gt;&lt;priority&gt;0&lt;/priority&gt;&lt;uuid&gt;4C6E2754-6815-46D0-9CC8-D47384E5EA6A&lt;/uuid&gt;&lt;publications&gt;&lt;publication&gt;&lt;subtype&gt;400&lt;/subtype&gt;&lt;title&gt;Classification of large circulating tumor cells isolated with ultra- high throughput micro uidic Vortex technology&lt;/title&gt;&lt;url&gt;https://biomicrofluidics.profecta.io/project/572795951f61476529639f1a&lt;/url&gt;&lt;publication_date&gt;99201602061200000000222000&lt;/publication_date&gt;&lt;uuid&gt;267B6DC2-125D-4642-A787-BDF240F2CEAF&lt;/uuid&gt;&lt;type&gt;400&lt;/type&gt;&lt;citekey&gt;Che:2016tu&lt;/citekey&gt;&lt;startpage&gt;12748&lt;/startpage&gt;&lt;endpage&gt;12760&lt;/endpage&gt;&lt;bundle&gt;&lt;publication&gt;&lt;title&gt;Oncotarget&lt;/title&gt;&lt;uuid&gt;2ACEFF64-074F-4DDD-9FCC-9B66E6563125&lt;/uuid&gt;&lt;subtype&gt;-100&lt;/subtype&gt;&lt;type&gt;-100&lt;/type&gt;&lt;/publication&gt;&lt;/bundle&gt;&lt;authors&gt;&lt;author&gt;&lt;lastName&gt;Che&lt;/lastName&gt;&lt;firstName&gt;James&lt;/firstName&gt;&lt;/author&gt;&lt;author&gt;&lt;lastName&gt;Yu&lt;/lastName&gt;&lt;firstName&gt;Victor&lt;/firstName&gt;&lt;/author&gt;&lt;author&gt;&lt;lastName&gt;Dhar&lt;/lastName&gt;&lt;firstName&gt;Manjima&lt;/firstName&gt;&lt;/author&gt;&lt;author&gt;&lt;lastName&gt;Renier&lt;/lastName&gt;&lt;firstName&gt;Corinne&lt;/firstName&gt;&lt;/author&gt;&lt;author&gt;&lt;lastName&gt;Matsumoto&lt;/lastName&gt;&lt;firstName&gt;Melissa&lt;/firstName&gt;&lt;/author&gt;&lt;author&gt;&lt;lastName&gt;Heirich&lt;/lastName&gt;&lt;firstName&gt;Kyra&lt;/firstName&gt;&lt;/author&gt;&lt;author&gt;&lt;lastName&gt;Garon&lt;/lastName&gt;&lt;firstName&gt;Edward&lt;/firstName&gt;&lt;middleNames&gt;B&lt;/middleNames&gt;&lt;/author&gt;&lt;author&gt;&lt;lastName&gt;Goldman&lt;/lastName&gt;&lt;firstName&gt;Jonathan&lt;/firstName&gt;&lt;/author&gt;&lt;author&gt;&lt;lastName&gt;Rao&lt;/lastName&gt;&lt;firstName&gt;Jianyu&lt;/firstName&gt;&lt;/author&gt;&lt;author&gt;&lt;lastName&gt;Sledge&lt;/lastName&gt;&lt;firstName&gt;George&lt;/firstName&gt;&lt;middleNames&gt;W&lt;/middleNames&gt;&lt;/author&gt;&lt;author&gt;&lt;lastName&gt;Pegram&lt;/lastName&gt;&lt;firstName&gt;Mark&lt;/firstName&gt;&lt;middleNames&gt;D&lt;/middleNames&gt;&lt;/author&gt;&lt;author&gt;&lt;lastName&gt;Sheth&lt;/lastName&gt;&lt;firstName&gt;Shruti&lt;/firstName&gt;&lt;/author&gt;&lt;author&gt;&lt;lastName&gt;Jeffrey&lt;/lastName&gt;&lt;firstName&gt;Stefanie&lt;/firstName&gt;&lt;middleNames&gt;S&lt;/middleNames&gt;&lt;/author&gt;&lt;author&gt;&lt;lastName&gt;Kulkarni&lt;/lastName&gt;&lt;firstName&gt;Rajan&lt;/firstName&gt;&lt;middleNames&gt;P&lt;/middleNames&gt;&lt;/author&gt;&lt;author&gt;&lt;lastName&gt;Sollier&lt;/lastName&gt;&lt;firstName&gt;Elodie&lt;/firstName&gt;&lt;/author&gt;&lt;author&gt;&lt;lastName&gt;Carlo&lt;/lastName&gt;&lt;nonDroppingParticle&gt;Di&lt;/nonDroppingParticle&gt;&lt;firstName&gt;Dino&lt;/firstName&gt;&lt;/author&gt;&lt;/authors&gt;&lt;/publication&gt;&lt;/publications&gt;&lt;cites&gt;&lt;/cites&gt;&lt;/citation&gt;</w:instrText>
      </w:r>
      <w:r w:rsidR="00624AF3">
        <w:rPr>
          <w:rFonts w:ascii="Calibri" w:hAnsi="Calibri" w:cs="Calibri"/>
          <w:sz w:val="22"/>
          <w:szCs w:val="22"/>
        </w:rPr>
        <w:fldChar w:fldCharType="separate"/>
      </w:r>
      <w:r w:rsidR="00624AF3">
        <w:rPr>
          <w:rFonts w:ascii="Calibri" w:hAnsi="Calibri" w:cs="Calibri"/>
          <w:sz w:val="22"/>
          <w:szCs w:val="22"/>
          <w:vertAlign w:val="superscript"/>
        </w:rPr>
        <w:t>1</w:t>
      </w:r>
      <w:r w:rsidR="00624AF3">
        <w:rPr>
          <w:rFonts w:ascii="Calibri" w:hAnsi="Calibri" w:cs="Calibri"/>
          <w:sz w:val="22"/>
          <w:szCs w:val="22"/>
        </w:rPr>
        <w:fldChar w:fldCharType="end"/>
      </w:r>
      <w:r w:rsidR="007F65C9" w:rsidRPr="00624AF3">
        <w:rPr>
          <w:rFonts w:ascii="Calibri" w:hAnsi="Calibri" w:cs="Calibri"/>
          <w:sz w:val="22"/>
          <w:szCs w:val="22"/>
          <w:lang w:val="en-AU"/>
        </w:rPr>
        <w:t xml:space="preserve"> and multimolecular delivery system2</w:t>
      </w:r>
      <w:r w:rsidR="00624AF3" w:rsidRPr="00624AF3">
        <w:rPr>
          <w:rFonts w:ascii="Calibri" w:hAnsi="Calibri" w:cs="Calibri"/>
          <w:sz w:val="22"/>
          <w:szCs w:val="22"/>
          <w:lang w:val="en-AU"/>
        </w:rPr>
        <w:fldChar w:fldCharType="begin"/>
      </w:r>
      <w:r w:rsidR="00624AF3">
        <w:rPr>
          <w:rFonts w:ascii="Calibri" w:hAnsi="Calibri" w:cs="Calibri"/>
          <w:sz w:val="22"/>
          <w:szCs w:val="22"/>
          <w:lang w:val="en-AU"/>
        </w:rPr>
        <w:instrText xml:space="preserve"> ADDIN PAPERS2_CITATIONS &lt;citation&gt;&lt;priority&gt;0&lt;/priority&gt;&lt;uuid&gt;75093700-4713-421C-B6AF-9B7F6E22D002&lt;/uuid&gt;&lt;publications&gt;&lt;publication&gt;&lt;subtype&gt;400&lt;/subtype&gt;&lt;publisher&gt;Nature Publishing Group&lt;/publisher&gt;&lt;title&gt;Microscale symmetrical electroporator array as a versatile molecular delivery system&lt;/title&gt;&lt;url&gt;http://www.nature.com/articles/srep44757&lt;/url&gt;&lt;volume&gt;7&lt;/volume&gt;&lt;publication_date&gt;99201703201200000000222000&lt;/publication_date&gt;&lt;uuid&gt;35819771-303B-44FC-AAC7-FF843FCA8821&lt;/uuid&gt;&lt;type&gt;400&lt;/type&gt;&lt;doi&gt;10.1038/srep44757&lt;/doi&gt;&lt;startpage&gt;44757&lt;/startpage&gt;&lt;bundle&gt;&lt;publication&gt;&lt;title&gt;Scientific Reports&lt;/title&gt;&lt;uuid&gt;051BA825-4E77-4EEE-9E05-84EFB5A3663D&lt;/uuid&gt;&lt;subtype&gt;-100&lt;/subtype&gt;&lt;publisher&gt;Nature Publishing Group&lt;/publisher&gt;&lt;type&gt;-100&lt;/type&gt;&lt;/publication&gt;&lt;/bundle&gt;&lt;authors&gt;&lt;author&gt;&lt;lastName&gt;Ouyang&lt;/lastName&gt;&lt;firstName&gt;Mengxing&lt;/firstName&gt;&lt;/author&gt;&lt;author&gt;&lt;lastName&gt;Hill&lt;/lastName&gt;&lt;firstName&gt;Winfield&lt;/firstName&gt;&lt;/author&gt;&lt;author&gt;&lt;lastName&gt;Lee&lt;/lastName&gt;&lt;firstName&gt;Jung&lt;/firstName&gt;&lt;middleNames&gt;Hyun&lt;/middleNames&gt;&lt;/author&gt;&lt;author&gt;&lt;lastName&gt;Hur&lt;/lastName&gt;&lt;firstName&gt;Soojung&lt;/firstName&gt;&lt;middleNames&gt;Claire&lt;/middleNames&gt;&lt;/author&gt;&lt;/authors&gt;&lt;/publication&gt;&lt;/publications&gt;&lt;cites&gt;&lt;/cites&gt;&lt;/citation&gt;</w:instrText>
      </w:r>
      <w:r w:rsidR="00624AF3" w:rsidRPr="00624AF3">
        <w:rPr>
          <w:rFonts w:ascii="Calibri" w:hAnsi="Calibri" w:cs="Calibri"/>
          <w:sz w:val="22"/>
          <w:szCs w:val="22"/>
          <w:lang w:val="en-AU"/>
        </w:rPr>
        <w:fldChar w:fldCharType="separate"/>
      </w:r>
      <w:r w:rsidR="00624AF3">
        <w:rPr>
          <w:rFonts w:ascii="Calibri" w:hAnsi="Calibri" w:cs="Calibri"/>
          <w:sz w:val="22"/>
          <w:szCs w:val="22"/>
          <w:vertAlign w:val="superscript"/>
        </w:rPr>
        <w:t>2</w:t>
      </w:r>
      <w:r w:rsidR="00624AF3" w:rsidRPr="00624AF3">
        <w:rPr>
          <w:rFonts w:ascii="Calibri" w:hAnsi="Calibri" w:cs="Calibri"/>
          <w:sz w:val="22"/>
          <w:szCs w:val="22"/>
          <w:lang w:val="en-AU"/>
        </w:rPr>
        <w:fldChar w:fldCharType="end"/>
      </w:r>
      <w:r w:rsidR="00624AF3" w:rsidRPr="00624AF3">
        <w:rPr>
          <w:rFonts w:ascii="Calibri" w:hAnsi="Calibri" w:cs="Calibri"/>
          <w:sz w:val="22"/>
          <w:szCs w:val="22"/>
          <w:lang w:val="en-AU"/>
        </w:rPr>
        <w:t xml:space="preserve">. </w:t>
      </w:r>
      <w:r w:rsidR="007F65C9" w:rsidRPr="00624AF3">
        <w:rPr>
          <w:rFonts w:ascii="Calibri" w:hAnsi="Calibri" w:cs="Calibri"/>
          <w:sz w:val="22"/>
          <w:szCs w:val="22"/>
          <w:lang w:val="en-AU"/>
        </w:rPr>
        <w:t xml:space="preserve"> We also designed a compact and programmable custom-built pulse generator, composed of a crystal regulated microprocessor (MSP430F5529, Texas Instrument), opto-couplers, a three stage H bridge, to generate 20kHz square pulses with 50% duty cycle for 1ms duration and 1s burst interval with a set voltage amplitude. The gefitinib-resistant clone of non-small cell lung cancer cells (HCC827 GR6)</w:t>
      </w:r>
      <w:r w:rsidR="00624AF3">
        <w:rPr>
          <w:rFonts w:ascii="Calibri" w:hAnsi="Calibri" w:cs="Calibri"/>
          <w:sz w:val="22"/>
          <w:szCs w:val="22"/>
        </w:rPr>
        <w:t xml:space="preserve"> </w:t>
      </w:r>
      <w:r w:rsidR="00624AF3">
        <w:rPr>
          <w:rFonts w:ascii="Calibri" w:hAnsi="Calibri" w:cs="Calibri"/>
          <w:sz w:val="22"/>
          <w:szCs w:val="22"/>
        </w:rPr>
        <w:fldChar w:fldCharType="begin"/>
      </w:r>
      <w:r w:rsidR="00624AF3">
        <w:rPr>
          <w:rFonts w:ascii="Calibri" w:hAnsi="Calibri" w:cs="Calibri"/>
          <w:sz w:val="22"/>
          <w:szCs w:val="22"/>
        </w:rPr>
        <w:instrText xml:space="preserve"> ADDIN PAPERS2_CITATIONS &lt;citation&gt;&lt;priority&gt;2&lt;/priority&gt;&lt;uuid&gt;035B1927-8EA7-4E61-958B-52E4F629C27D&lt;/uuid&gt;&lt;publications&gt;&lt;publication&gt;&lt;subtype&gt;400&lt;/subtype&gt;&lt;title&gt;MET amplification leads to gefitinib resistance in lung cancer by activating ERBB3 signaling.&lt;/title&gt;&lt;url&gt;http://eutils.ncbi.nlm.nih.gov/entrez/eutils/elink.fcgi?dbfrom=pubmed&amp;amp;id=17463250&amp;amp;retmode=ref&amp;amp;cmd=prlinks&lt;/url&gt;&lt;volume&gt;316&lt;/volume&gt;&lt;publication_date&gt;99200705181200000000222000&lt;/publication_date&gt;&lt;uuid&gt;FA5994B2-8230-4961-B04A-10EF46131084&lt;/uuid&gt;&lt;type&gt;400&lt;/type&gt;&lt;number&gt;5827&lt;/number&gt;&lt;doi&gt;10.1126/science.1141478&lt;/doi&gt;&lt;institution&gt;Massachusetts General Hospital Cancer Center, Boston, MA 02114, USA.&lt;/institution&gt;&lt;startpage&gt;1039&lt;/startpage&gt;&lt;endpage&gt;1043&lt;/endpage&gt;&lt;bundle&gt;&lt;publication&gt;&lt;title&gt;Science&lt;/title&gt;&lt;uuid&gt;D888E5BF-5F4D-4E32-B3D1-F64F9D84DC1C&lt;/uuid&gt;&lt;subtype&gt;-100&lt;/subtype&gt;&lt;publisher&gt;American Association for the Advancement of Science&lt;/publisher&gt;&lt;type&gt;-100&lt;/type&gt;&lt;/publication&gt;&lt;/bundle&gt;&lt;authors&gt;&lt;author&gt;&lt;lastName&gt;Engelman&lt;/lastName&gt;&lt;firstName&gt;Jeffrey&lt;/firstName&gt;&lt;middleNames&gt;A&lt;/middleNames&gt;&lt;/author&gt;&lt;author&gt;&lt;lastName&gt;Zejnullahu&lt;/lastName&gt;&lt;firstName&gt;Kreshnik&lt;/firstName&gt;&lt;/author&gt;&lt;author&gt;&lt;lastName&gt;Mitsudomi&lt;/lastName&gt;&lt;firstName&gt;Tetsuya&lt;/firstName&gt;&lt;/author&gt;&lt;author&gt;&lt;lastName&gt;Song&lt;/lastName&gt;&lt;firstName&gt;Youngchul&lt;/firstName&gt;&lt;/author&gt;&lt;author&gt;&lt;lastName&gt;Hyland&lt;/lastName&gt;&lt;firstName&gt;Courtney&lt;/firstName&gt;&lt;/author&gt;&lt;author&gt;&lt;lastName&gt;Park&lt;/lastName&gt;&lt;firstName&gt;Joon&lt;/firstName&gt;&lt;middleNames&gt;Oh&lt;/middleNames&gt;&lt;/author&gt;&lt;author&gt;&lt;lastName&gt;Lindeman&lt;/lastName&gt;&lt;firstName&gt;Neal&lt;/firstName&gt;&lt;/author&gt;&lt;author&gt;&lt;lastName&gt;Gale&lt;/lastName&gt;&lt;firstName&gt;Christopher-Michael&lt;/firstName&gt;&lt;/author&gt;&lt;author&gt;&lt;lastName&gt;Zhao&lt;/lastName&gt;&lt;firstName&gt;Xiaojun&lt;/firstName&gt;&lt;/author&gt;&lt;author&gt;&lt;lastName&gt;Christensen&lt;/lastName&gt;&lt;firstName&gt;James&lt;/firstName&gt;&lt;/author&gt;&lt;author&gt;&lt;lastName&gt;Kosaka&lt;/lastName&gt;&lt;firstName&gt;Takayuki&lt;/firstName&gt;&lt;/author&gt;&lt;author&gt;&lt;lastName&gt;Holmes&lt;/lastName&gt;&lt;firstName&gt;Alison&lt;/firstName&gt;&lt;middleNames&gt;J&lt;/middleNames&gt;&lt;/author&gt;&lt;author&gt;&lt;lastName&gt;Rogers&lt;/lastName&gt;&lt;firstName&gt;Andrew&lt;/firstName&gt;&lt;middleNames&gt;M&lt;/middleNames&gt;&lt;/author&gt;&lt;author&gt;&lt;lastName&gt;Cappuzzo&lt;/lastName&gt;&lt;firstName&gt;Federico&lt;/firstName&gt;&lt;/author&gt;&lt;author&gt;&lt;lastName&gt;Mok&lt;/lastName&gt;&lt;firstName&gt;Tony&lt;/firstName&gt;&lt;/author&gt;&lt;author&gt;&lt;lastName&gt;Lee&lt;/lastName&gt;&lt;firstName&gt;Charles&lt;/firstName&gt;&lt;/author&gt;&lt;author&gt;&lt;lastName&gt;Johnson&lt;/lastName&gt;&lt;firstName&gt;Bruce&lt;/firstName&gt;&lt;middleNames&gt;E&lt;/middleNames&gt;&lt;/author&gt;&lt;author&gt;&lt;lastName&gt;Cantley&lt;/lastName&gt;&lt;firstName&gt;Lewis&lt;/firstName&gt;&lt;middleNames&gt;C&lt;/middleNames&gt;&lt;/author&gt;&lt;author&gt;&lt;lastName&gt;Jänne&lt;/lastName&gt;&lt;firstName&gt;Pasi&lt;/firstName&gt;&lt;middleNames&gt;A&lt;/middleNames&gt;&lt;/author&gt;&lt;/authors&gt;&lt;/publication&gt;&lt;/publications&gt;&lt;cites&gt;&lt;/cites&gt;&lt;/citation&gt;</w:instrText>
      </w:r>
      <w:r w:rsidR="00624AF3">
        <w:rPr>
          <w:rFonts w:ascii="Calibri" w:hAnsi="Calibri" w:cs="Calibri"/>
          <w:sz w:val="22"/>
          <w:szCs w:val="22"/>
        </w:rPr>
        <w:fldChar w:fldCharType="separate"/>
      </w:r>
      <w:r w:rsidR="00624AF3">
        <w:rPr>
          <w:rFonts w:ascii="Calibri" w:hAnsi="Calibri" w:cs="Calibri"/>
          <w:sz w:val="22"/>
          <w:szCs w:val="22"/>
          <w:vertAlign w:val="superscript"/>
        </w:rPr>
        <w:t>3</w:t>
      </w:r>
      <w:r w:rsidR="00624AF3">
        <w:rPr>
          <w:rFonts w:ascii="Calibri" w:hAnsi="Calibri" w:cs="Calibri"/>
          <w:sz w:val="22"/>
          <w:szCs w:val="22"/>
        </w:rPr>
        <w:fldChar w:fldCharType="end"/>
      </w:r>
      <w:r w:rsidR="007F65C9" w:rsidRPr="00624AF3">
        <w:rPr>
          <w:rFonts w:ascii="Calibri" w:hAnsi="Calibri" w:cs="Calibri"/>
          <w:sz w:val="22"/>
          <w:szCs w:val="22"/>
          <w:lang w:val="en-AU"/>
        </w:rPr>
        <w:t xml:space="preserve"> were spiked into 20X diluted whole blood to emulate circulating </w:t>
      </w:r>
      <w:proofErr w:type="spellStart"/>
      <w:r w:rsidR="007F65C9" w:rsidRPr="00624AF3">
        <w:rPr>
          <w:rFonts w:ascii="Calibri" w:hAnsi="Calibri" w:cs="Calibri"/>
          <w:sz w:val="22"/>
          <w:szCs w:val="22"/>
          <w:lang w:val="en-AU"/>
        </w:rPr>
        <w:t>tumor</w:t>
      </w:r>
      <w:proofErr w:type="spellEnd"/>
      <w:r w:rsidR="007F65C9" w:rsidRPr="00624AF3">
        <w:rPr>
          <w:rFonts w:ascii="Calibri" w:hAnsi="Calibri" w:cs="Calibri"/>
          <w:sz w:val="22"/>
          <w:szCs w:val="22"/>
          <w:lang w:val="en-AU"/>
        </w:rPr>
        <w:t xml:space="preserve"> cells from gefitinib-resistant lung cancer. A membrane impermeable propidium iodide (PI) was delivered into cells to identify the optimum electroporation condition. Combinatorial drug efficacy on restoration of drug sensitivity was evaluated by injecting gefitinib (EGFR inhibitor) and PHA-665752 (MET inhibitor</w:t>
      </w:r>
      <w:r w:rsidR="00624AF3">
        <w:rPr>
          <w:rFonts w:ascii="Calibri" w:hAnsi="Calibri" w:cs="Calibri"/>
          <w:sz w:val="22"/>
          <w:szCs w:val="22"/>
        </w:rPr>
        <w:fldChar w:fldCharType="begin"/>
      </w:r>
      <w:r w:rsidR="00624AF3">
        <w:rPr>
          <w:rFonts w:ascii="Calibri" w:hAnsi="Calibri" w:cs="Calibri"/>
          <w:sz w:val="22"/>
          <w:szCs w:val="22"/>
        </w:rPr>
        <w:instrText xml:space="preserve"> ADDIN PAPERS2_CITATIONS &lt;citation&gt;&lt;priority&gt;3&lt;/priority&gt;&lt;uuid&gt;FB4ABF0E-0957-48AB-8E32-2F409885442B&lt;/uuid&gt;&lt;publications&gt;&lt;publication&gt;&lt;subtype&gt;400&lt;/subtype&gt;&lt;title&gt;MET amplification leads to gefitinib resistance in lung cancer by activating ERBB3 signaling.&lt;/title&gt;&lt;url&gt;http://eutils.ncbi.nlm.nih.gov/entrez/eutils/elink.fcgi?dbfrom=pubmed&amp;amp;id=17463250&amp;amp;retmode=ref&amp;amp;cmd=prlinks&lt;/url&gt;&lt;volume&gt;316&lt;/volume&gt;&lt;publication_date&gt;99200705181200000000222000&lt;/publication_date&gt;&lt;uuid&gt;FA5994B2-8230-4961-B04A-10EF46131084&lt;/uuid&gt;&lt;type&gt;400&lt;/type&gt;&lt;number&gt;5827&lt;/number&gt;&lt;doi&gt;10.1126/science.1141478&lt;/doi&gt;&lt;institution&gt;Massachusetts General Hospital Cancer Center, Boston, MA 02114, USA.&lt;/institution&gt;&lt;startpage&gt;1039&lt;/startpage&gt;&lt;endpage&gt;1043&lt;/endpage&gt;&lt;bundle&gt;&lt;publication&gt;&lt;title&gt;Science&lt;/title&gt;&lt;uuid&gt;D888E5BF-5F4D-4E32-B3D1-F64F9D84DC1C&lt;/uuid&gt;&lt;subtype&gt;-100&lt;/subtype&gt;&lt;publisher&gt;American Association for the Advancement of Science&lt;/publisher&gt;&lt;type&gt;-100&lt;/type&gt;&lt;/publication&gt;&lt;/bundle&gt;&lt;authors&gt;&lt;author&gt;&lt;lastName&gt;Engelman&lt;/lastName&gt;&lt;firstName&gt;Jeffrey&lt;/firstName&gt;&lt;middleNames&gt;A&lt;/middleNames&gt;&lt;/author&gt;&lt;author&gt;&lt;lastName&gt;Zejnullahu&lt;/lastName&gt;&lt;firstName&gt;Kreshnik&lt;/firstName&gt;&lt;/author&gt;&lt;author&gt;&lt;lastName&gt;Mitsudomi&lt;/lastName&gt;&lt;firstName&gt;Tetsuya&lt;/firstName&gt;&lt;/author&gt;&lt;author&gt;&lt;lastName&gt;Song&lt;/lastName&gt;&lt;firstName&gt;Youngchul&lt;/firstName&gt;&lt;/author&gt;&lt;author&gt;&lt;lastName&gt;Hyland&lt;/lastName&gt;&lt;firstName&gt;Courtney&lt;/firstName&gt;&lt;/author&gt;&lt;author&gt;&lt;lastName&gt;Park&lt;/lastName&gt;&lt;firstName&gt;Joon&lt;/firstName&gt;&lt;middleNames&gt;Oh&lt;/middleNames&gt;&lt;/author&gt;&lt;author&gt;&lt;lastName&gt;Lindeman&lt;/lastName&gt;&lt;firstName&gt;Neal&lt;/firstName&gt;&lt;/author&gt;&lt;author&gt;&lt;lastName&gt;Gale&lt;/lastName&gt;&lt;firstName&gt;Christopher-Michael&lt;/firstName&gt;&lt;/author&gt;&lt;author&gt;&lt;lastName&gt;Zhao&lt;/lastName&gt;&lt;firstName&gt;Xiaojun&lt;/firstName&gt;&lt;/author&gt;&lt;author&gt;&lt;lastName&gt;Christensen&lt;/lastName&gt;&lt;firstName&gt;James&lt;/firstName&gt;&lt;/author&gt;&lt;author&gt;&lt;lastName&gt;Kosaka&lt;/lastName&gt;&lt;firstName&gt;Takayuki&lt;/firstName&gt;&lt;/author&gt;&lt;author&gt;&lt;lastName&gt;Holmes&lt;/lastName&gt;&lt;firstName&gt;Alison&lt;/firstName&gt;&lt;middleNames&gt;J&lt;/middleNames&gt;&lt;/author&gt;&lt;author&gt;&lt;lastName&gt;Rogers&lt;/lastName&gt;&lt;firstName&gt;Andrew&lt;/firstName&gt;&lt;middleNames&gt;M&lt;/middleNames&gt;&lt;/author&gt;&lt;author&gt;&lt;lastName&gt;Cappuzzo&lt;/lastName&gt;&lt;firstName&gt;Federico&lt;/firstName&gt;&lt;/author&gt;&lt;author&gt;&lt;lastName&gt;Mok&lt;/lastName&gt;&lt;firstName&gt;Tony&lt;/firstName&gt;&lt;/author&gt;&lt;author&gt;&lt;lastName&gt;Lee&lt;/lastName&gt;&lt;firstName&gt;Charles&lt;/firstName&gt;&lt;/author&gt;&lt;author&gt;&lt;lastName&gt;Johnson&lt;/lastName&gt;&lt;firstName&gt;Bruce&lt;/firstName&gt;&lt;middleNames&gt;E&lt;/middleNames&gt;&lt;/author&gt;&lt;author&gt;&lt;lastName&gt;Cantley&lt;/lastName&gt;&lt;firstName&gt;Lewis&lt;/firstName&gt;&lt;middleNames&gt;C&lt;/middleNames&gt;&lt;/author&gt;&lt;author&gt;&lt;lastName&gt;Jänne&lt;/lastName&gt;&lt;firstName&gt;Pasi&lt;/firstName&gt;&lt;middleNames&gt;A&lt;/middleNames&gt;&lt;/author&gt;&lt;/authors&gt;&lt;/publication&gt;&lt;/publications&gt;&lt;cites&gt;&lt;/cites&gt;&lt;/citation&gt;</w:instrText>
      </w:r>
      <w:r w:rsidR="00624AF3">
        <w:rPr>
          <w:rFonts w:ascii="Calibri" w:hAnsi="Calibri" w:cs="Calibri"/>
          <w:sz w:val="22"/>
          <w:szCs w:val="22"/>
        </w:rPr>
        <w:fldChar w:fldCharType="separate"/>
      </w:r>
      <w:r w:rsidR="00624AF3">
        <w:rPr>
          <w:rFonts w:ascii="Calibri" w:hAnsi="Calibri" w:cs="Calibri"/>
          <w:sz w:val="22"/>
          <w:szCs w:val="22"/>
          <w:vertAlign w:val="superscript"/>
        </w:rPr>
        <w:t>3</w:t>
      </w:r>
      <w:r w:rsidR="00624AF3">
        <w:rPr>
          <w:rFonts w:ascii="Calibri" w:hAnsi="Calibri" w:cs="Calibri"/>
          <w:sz w:val="22"/>
          <w:szCs w:val="22"/>
        </w:rPr>
        <w:fldChar w:fldCharType="end"/>
      </w:r>
      <w:r w:rsidR="007F65C9" w:rsidRPr="00624AF3">
        <w:rPr>
          <w:rFonts w:ascii="Calibri" w:hAnsi="Calibri" w:cs="Calibri"/>
          <w:sz w:val="22"/>
          <w:szCs w:val="22"/>
          <w:lang w:val="en-AU"/>
        </w:rPr>
        <w:t xml:space="preserve">) into HCC827 GR6 cells purified from blood via electroporation in a dose-controlled manner. The processed cells were cultured for 72hrs in 96-well plates and </w:t>
      </w:r>
      <w:proofErr w:type="spellStart"/>
      <w:r w:rsidR="007F65C9" w:rsidRPr="00624AF3">
        <w:rPr>
          <w:rFonts w:ascii="Calibri" w:hAnsi="Calibri" w:cs="Calibri"/>
          <w:sz w:val="22"/>
          <w:szCs w:val="22"/>
          <w:lang w:val="en-AU"/>
        </w:rPr>
        <w:t>CellTiter</w:t>
      </w:r>
      <w:proofErr w:type="spellEnd"/>
      <w:r w:rsidR="007F65C9" w:rsidRPr="00624AF3">
        <w:rPr>
          <w:rFonts w:ascii="Calibri" w:hAnsi="Calibri" w:cs="Calibri"/>
          <w:sz w:val="22"/>
          <w:szCs w:val="22"/>
          <w:lang w:val="en-AU"/>
        </w:rPr>
        <w:t>-Glo® luminescent assay (Promega) was performed to quantify dose-dependent toxicity of drug combinations. Relative viability of processed cells was normalized by that of untreated controls.</w:t>
      </w:r>
    </w:p>
    <w:p w14:paraId="7047AF77" w14:textId="4DEB6477" w:rsidR="00711813" w:rsidRPr="000A6D19" w:rsidRDefault="00711813" w:rsidP="00624AF3">
      <w:pPr>
        <w:spacing w:after="120"/>
        <w:ind w:left="288" w:right="288"/>
        <w:jc w:val="both"/>
        <w:rPr>
          <w:rFonts w:ascii="Calibri" w:hAnsi="Calibri" w:cs="Calibri"/>
          <w:b/>
          <w:bCs/>
          <w:lang w:val="en-AU"/>
        </w:rPr>
      </w:pPr>
      <w:r w:rsidRPr="000A6D19">
        <w:rPr>
          <w:rFonts w:ascii="Calibri" w:hAnsi="Calibri" w:cs="Calibri"/>
          <w:b/>
          <w:bCs/>
          <w:lang w:val="en-AU"/>
        </w:rPr>
        <w:t xml:space="preserve">Results </w:t>
      </w:r>
      <w:r w:rsidR="00116CC9" w:rsidRPr="00624AF3">
        <w:rPr>
          <w:rFonts w:ascii="Calibri" w:hAnsi="Calibri" w:cs="Calibri"/>
          <w:sz w:val="22"/>
          <w:szCs w:val="22"/>
          <w:lang w:val="en-AU"/>
        </w:rPr>
        <w:t>Automated solution exchange scheme of THEME along with real-time visualization capability enabled dose-controlled combinatorial drug screening on cancer cells purified from blood without laborious and time-consuming pipetting, centrifugation and imaging steps. The collected samples contained low number of assay-interfering blood cells. The high efficiency (96%) and viability (97%) were observed for HCC827 G6 cells when 7 trains of 12Vrms square pulses were applied.</w:t>
      </w:r>
      <w:r w:rsidR="00116CC9" w:rsidRPr="00116CC9">
        <w:rPr>
          <w:rFonts w:ascii="Calibri" w:hAnsi="Calibri" w:cs="Calibri"/>
          <w:b/>
          <w:bCs/>
          <w:lang w:val="en-AU"/>
        </w:rPr>
        <w:t xml:space="preserve">  </w:t>
      </w:r>
    </w:p>
    <w:p w14:paraId="2B7EDDB3" w14:textId="151F835D" w:rsidR="00EF12F3" w:rsidRPr="00624AF3" w:rsidRDefault="00711813" w:rsidP="00624AF3">
      <w:pPr>
        <w:spacing w:after="120"/>
        <w:ind w:left="288" w:right="288"/>
        <w:jc w:val="both"/>
        <w:rPr>
          <w:rFonts w:ascii="Calibri" w:hAnsi="Calibri" w:cs="Calibri"/>
          <w:b/>
          <w:bCs/>
          <w:sz w:val="22"/>
          <w:szCs w:val="22"/>
          <w:lang w:val="en-AU"/>
        </w:rPr>
      </w:pPr>
      <w:r w:rsidRPr="000A6D19">
        <w:rPr>
          <w:rFonts w:ascii="Calibri" w:hAnsi="Calibri" w:cs="Calibri"/>
          <w:b/>
          <w:bCs/>
          <w:lang w:val="en-AU"/>
        </w:rPr>
        <w:t xml:space="preserve">Discussion </w:t>
      </w:r>
      <w:r w:rsidR="00BF2D9A" w:rsidRPr="00624AF3">
        <w:rPr>
          <w:rFonts w:ascii="Calibri" w:hAnsi="Calibri" w:cs="Calibri"/>
          <w:sz w:val="22"/>
          <w:szCs w:val="22"/>
          <w:lang w:val="en-AU"/>
        </w:rPr>
        <w:t>While HCC827 GR6 cells, regardless of electroporation, exhibited similar degrees of dose-independent drug resistance to both Gefitinib and PHA-665752 when single-drug was administered, cells treated with Gefitinib via electroporation reached the endpoint cytotoxicity within 24hrs, suggesting THEME’s potential as an accelerated drug efficacy testing platform. Combinatorial administrations of two drugs restored drug sensitivity of HCC827 GR6 cells and electroporated cells exhibited higher re-sensitization tendency at a lower dose. This could be attributed to higher in-cell drug concentrations achieved by electroporation-mediated drug delivery, suggesting that THEME can be used to identify the drug efficacy variations sensitive to subtle changes in the concentration.</w:t>
      </w:r>
      <w:r w:rsidR="00BF2D9A" w:rsidRPr="00624AF3">
        <w:rPr>
          <w:rFonts w:ascii="Calibri" w:hAnsi="Calibri" w:cs="Calibri"/>
          <w:b/>
          <w:bCs/>
          <w:sz w:val="22"/>
          <w:szCs w:val="22"/>
          <w:lang w:val="en-AU"/>
        </w:rPr>
        <w:t xml:space="preserve">  </w:t>
      </w:r>
    </w:p>
    <w:p w14:paraId="181C748C" w14:textId="49449A09" w:rsidR="00641190" w:rsidRPr="00624AF3" w:rsidRDefault="00045573" w:rsidP="00624AF3">
      <w:pPr>
        <w:spacing w:after="120"/>
        <w:ind w:left="288" w:right="288"/>
        <w:jc w:val="both"/>
        <w:rPr>
          <w:rFonts w:ascii="Calibri" w:hAnsi="Calibri" w:cs="Calibri"/>
          <w:b/>
          <w:bCs/>
          <w:sz w:val="22"/>
          <w:szCs w:val="22"/>
        </w:rPr>
      </w:pPr>
      <w:r w:rsidRPr="00624AF3">
        <w:rPr>
          <w:rFonts w:ascii="Calibri" w:hAnsi="Calibri" w:cs="Calibri"/>
          <w:b/>
          <w:bCs/>
          <w:sz w:val="22"/>
          <w:szCs w:val="22"/>
          <w:lang w:val="en-AU"/>
        </w:rPr>
        <w:t>Conclusion</w:t>
      </w:r>
      <w:r w:rsidRPr="00624AF3">
        <w:rPr>
          <w:rFonts w:ascii="Calibri" w:hAnsi="Calibri" w:cs="Calibri"/>
          <w:b/>
          <w:bCs/>
          <w:sz w:val="22"/>
          <w:szCs w:val="22"/>
        </w:rPr>
        <w:t xml:space="preserve"> </w:t>
      </w:r>
      <w:r w:rsidR="00F11DA0" w:rsidRPr="00624AF3">
        <w:rPr>
          <w:rFonts w:ascii="Calibri" w:hAnsi="Calibri" w:cs="Calibri"/>
          <w:sz w:val="22"/>
          <w:szCs w:val="22"/>
        </w:rPr>
        <w:t>THEME has a great potential for patient-specific drug selections and efficacy evaluation by directly assaying primary cells purified from bodily fluids.</w:t>
      </w:r>
    </w:p>
    <w:p w14:paraId="193725D9" w14:textId="52D5785E" w:rsidR="005F19FF" w:rsidRPr="005F19FF" w:rsidRDefault="005F19FF" w:rsidP="009A4CFF">
      <w:pPr>
        <w:ind w:left="284" w:right="282"/>
        <w:jc w:val="both"/>
        <w:rPr>
          <w:rFonts w:ascii="Calibri" w:hAnsi="Calibri" w:cs="Calibri"/>
          <w:b/>
          <w:lang w:val="en-AU"/>
        </w:rPr>
      </w:pPr>
      <w:r w:rsidRPr="005F19FF">
        <w:rPr>
          <w:rFonts w:ascii="Calibri" w:hAnsi="Calibri" w:cs="Calibri"/>
          <w:b/>
          <w:lang w:val="en-AU"/>
        </w:rPr>
        <w:t>References</w:t>
      </w:r>
    </w:p>
    <w:p w14:paraId="16E113B8" w14:textId="77777777" w:rsidR="00624AF3" w:rsidRDefault="00624AF3" w:rsidP="00624AF3">
      <w:pPr>
        <w:tabs>
          <w:tab w:val="left" w:pos="480"/>
        </w:tabs>
        <w:autoSpaceDE w:val="0"/>
        <w:autoSpaceDN w:val="0"/>
        <w:adjustRightInd w:val="0"/>
        <w:ind w:left="480" w:hanging="480"/>
        <w:rPr>
          <w:rFonts w:ascii="Calibri" w:hAnsi="Calibri" w:cs="Calibri"/>
          <w:sz w:val="22"/>
          <w:szCs w:val="22"/>
        </w:rPr>
      </w:pPr>
      <w:r>
        <w:rPr>
          <w:rFonts w:ascii="Calibri" w:hAnsi="Calibri" w:cs="Calibri"/>
          <w:sz w:val="22"/>
          <w:szCs w:val="22"/>
        </w:rPr>
        <w:t>1.</w:t>
      </w:r>
      <w:r>
        <w:rPr>
          <w:rFonts w:ascii="Calibri" w:hAnsi="Calibri" w:cs="Calibri"/>
          <w:sz w:val="22"/>
          <w:szCs w:val="22"/>
        </w:rPr>
        <w:tab/>
        <w:t xml:space="preserve">Che, J. </w:t>
      </w:r>
      <w:r>
        <w:rPr>
          <w:rFonts w:ascii="Calibri" w:hAnsi="Calibri" w:cs="Calibri"/>
          <w:i/>
          <w:iCs/>
          <w:sz w:val="22"/>
          <w:szCs w:val="22"/>
        </w:rPr>
        <w:t>et al.</w:t>
      </w:r>
      <w:r>
        <w:rPr>
          <w:rFonts w:ascii="Calibri" w:hAnsi="Calibri" w:cs="Calibri"/>
          <w:sz w:val="22"/>
          <w:szCs w:val="22"/>
        </w:rPr>
        <w:t xml:space="preserve"> Classification of large circulating tumor cells isolated with ultra- high throughput micro </w:t>
      </w:r>
      <w:proofErr w:type="spellStart"/>
      <w:r>
        <w:rPr>
          <w:rFonts w:ascii="Calibri" w:hAnsi="Calibri" w:cs="Calibri"/>
          <w:sz w:val="22"/>
          <w:szCs w:val="22"/>
        </w:rPr>
        <w:t>uidic</w:t>
      </w:r>
      <w:proofErr w:type="spellEnd"/>
      <w:r>
        <w:rPr>
          <w:rFonts w:ascii="Calibri" w:hAnsi="Calibri" w:cs="Calibri"/>
          <w:sz w:val="22"/>
          <w:szCs w:val="22"/>
        </w:rPr>
        <w:t xml:space="preserve"> Vortex technology. </w:t>
      </w:r>
      <w:proofErr w:type="spellStart"/>
      <w:r>
        <w:rPr>
          <w:rFonts w:ascii="Calibri" w:hAnsi="Calibri" w:cs="Calibri"/>
          <w:i/>
          <w:iCs/>
          <w:sz w:val="22"/>
          <w:szCs w:val="22"/>
        </w:rPr>
        <w:t>Oncotarget</w:t>
      </w:r>
      <w:proofErr w:type="spellEnd"/>
      <w:r>
        <w:rPr>
          <w:rFonts w:ascii="Calibri" w:hAnsi="Calibri" w:cs="Calibri"/>
          <w:sz w:val="22"/>
          <w:szCs w:val="22"/>
        </w:rPr>
        <w:t xml:space="preserve"> 12748–12760 (2016).</w:t>
      </w:r>
    </w:p>
    <w:p w14:paraId="53BE4200" w14:textId="77777777" w:rsidR="00624AF3" w:rsidRDefault="00624AF3" w:rsidP="00624AF3">
      <w:pPr>
        <w:tabs>
          <w:tab w:val="left" w:pos="480"/>
        </w:tabs>
        <w:autoSpaceDE w:val="0"/>
        <w:autoSpaceDN w:val="0"/>
        <w:adjustRightInd w:val="0"/>
        <w:ind w:left="480" w:hanging="480"/>
        <w:rPr>
          <w:rFonts w:ascii="Calibri" w:hAnsi="Calibri" w:cs="Calibri"/>
          <w:sz w:val="22"/>
          <w:szCs w:val="22"/>
        </w:rPr>
      </w:pPr>
      <w:r>
        <w:rPr>
          <w:rFonts w:ascii="Calibri" w:hAnsi="Calibri" w:cs="Calibri"/>
          <w:sz w:val="22"/>
          <w:szCs w:val="22"/>
        </w:rPr>
        <w:t>2.</w:t>
      </w:r>
      <w:r>
        <w:rPr>
          <w:rFonts w:ascii="Calibri" w:hAnsi="Calibri" w:cs="Calibri"/>
          <w:sz w:val="22"/>
          <w:szCs w:val="22"/>
        </w:rPr>
        <w:tab/>
        <w:t xml:space="preserve">Ouyang, M., Hill, W., Lee, J. H. &amp; Hur, S. C. Microscale symmetrical electroporator array as a versatile molecular delivery system. </w:t>
      </w:r>
      <w:r>
        <w:rPr>
          <w:rFonts w:ascii="Calibri" w:hAnsi="Calibri" w:cs="Calibri"/>
          <w:i/>
          <w:iCs/>
          <w:sz w:val="22"/>
          <w:szCs w:val="22"/>
        </w:rPr>
        <w:t>Sci. Rep.</w:t>
      </w:r>
      <w:r>
        <w:rPr>
          <w:rFonts w:ascii="Calibri" w:hAnsi="Calibri" w:cs="Calibri"/>
          <w:sz w:val="22"/>
          <w:szCs w:val="22"/>
        </w:rPr>
        <w:t xml:space="preserve"> </w:t>
      </w:r>
      <w:r>
        <w:rPr>
          <w:rFonts w:ascii="Calibri" w:hAnsi="Calibri" w:cs="Calibri"/>
          <w:b/>
          <w:bCs/>
          <w:sz w:val="22"/>
          <w:szCs w:val="22"/>
        </w:rPr>
        <w:t>7,</w:t>
      </w:r>
      <w:r>
        <w:rPr>
          <w:rFonts w:ascii="Calibri" w:hAnsi="Calibri" w:cs="Calibri"/>
          <w:sz w:val="22"/>
          <w:szCs w:val="22"/>
        </w:rPr>
        <w:t xml:space="preserve"> 44757 (2017).</w:t>
      </w:r>
    </w:p>
    <w:p w14:paraId="19A0A76F" w14:textId="74313FE1" w:rsidR="00F97620" w:rsidRPr="006B3866" w:rsidRDefault="00624AF3" w:rsidP="00624AF3">
      <w:pPr>
        <w:tabs>
          <w:tab w:val="left" w:pos="480"/>
        </w:tabs>
        <w:autoSpaceDE w:val="0"/>
        <w:autoSpaceDN w:val="0"/>
        <w:adjustRightInd w:val="0"/>
        <w:ind w:left="480" w:hanging="480"/>
        <w:rPr>
          <w:rFonts w:ascii="Calibri" w:hAnsi="Calibri" w:cs="Calibri"/>
          <w:sz w:val="22"/>
          <w:szCs w:val="22"/>
          <w:lang w:val="en-AU"/>
        </w:rPr>
      </w:pPr>
      <w:r>
        <w:rPr>
          <w:rFonts w:ascii="Calibri" w:hAnsi="Calibri" w:cs="Calibri"/>
          <w:sz w:val="22"/>
          <w:szCs w:val="22"/>
        </w:rPr>
        <w:t>3.</w:t>
      </w:r>
      <w:r>
        <w:rPr>
          <w:rFonts w:ascii="Calibri" w:hAnsi="Calibri" w:cs="Calibri"/>
          <w:sz w:val="22"/>
          <w:szCs w:val="22"/>
        </w:rPr>
        <w:tab/>
        <w:t xml:space="preserve">Engelman, J. A. </w:t>
      </w:r>
      <w:r>
        <w:rPr>
          <w:rFonts w:ascii="Calibri" w:hAnsi="Calibri" w:cs="Calibri"/>
          <w:i/>
          <w:iCs/>
          <w:sz w:val="22"/>
          <w:szCs w:val="22"/>
        </w:rPr>
        <w:t>et al.</w:t>
      </w:r>
      <w:r>
        <w:rPr>
          <w:rFonts w:ascii="Calibri" w:hAnsi="Calibri" w:cs="Calibri"/>
          <w:sz w:val="22"/>
          <w:szCs w:val="22"/>
        </w:rPr>
        <w:t xml:space="preserve"> MET amplification leads to gefitinib resistance in lung cancer by activating ERBB3 signaling. </w:t>
      </w:r>
      <w:r>
        <w:rPr>
          <w:rFonts w:ascii="Calibri" w:hAnsi="Calibri" w:cs="Calibri"/>
          <w:i/>
          <w:iCs/>
          <w:sz w:val="22"/>
          <w:szCs w:val="22"/>
        </w:rPr>
        <w:t>Science</w:t>
      </w:r>
      <w:r>
        <w:rPr>
          <w:rFonts w:ascii="Calibri" w:hAnsi="Calibri" w:cs="Calibri"/>
          <w:sz w:val="22"/>
          <w:szCs w:val="22"/>
        </w:rPr>
        <w:t xml:space="preserve"> </w:t>
      </w:r>
      <w:r>
        <w:rPr>
          <w:rFonts w:ascii="Calibri" w:hAnsi="Calibri" w:cs="Calibri"/>
          <w:b/>
          <w:bCs/>
          <w:sz w:val="22"/>
          <w:szCs w:val="22"/>
        </w:rPr>
        <w:t>316,</w:t>
      </w:r>
      <w:r>
        <w:rPr>
          <w:rFonts w:ascii="Calibri" w:hAnsi="Calibri" w:cs="Calibri"/>
          <w:sz w:val="22"/>
          <w:szCs w:val="22"/>
        </w:rPr>
        <w:t xml:space="preserve"> 1039–1043 (2007).</w:t>
      </w:r>
      <w:r>
        <w:rPr>
          <w:rFonts w:ascii="Calibri" w:hAnsi="Calibri" w:cs="Calibri"/>
          <w:sz w:val="22"/>
          <w:szCs w:val="22"/>
          <w:lang w:val="en-AU"/>
        </w:rPr>
        <w:fldChar w:fldCharType="begin"/>
      </w:r>
      <w:r>
        <w:rPr>
          <w:rFonts w:ascii="Calibri" w:hAnsi="Calibri" w:cs="Calibri"/>
          <w:sz w:val="22"/>
          <w:szCs w:val="22"/>
          <w:lang w:val="en-AU"/>
        </w:rPr>
        <w:instrText xml:space="preserve"> ADDIN PAPERS2_CITATIONS &lt;papers2_bibliography/&gt;</w:instrText>
      </w:r>
      <w:r>
        <w:rPr>
          <w:rFonts w:ascii="Calibri" w:hAnsi="Calibri" w:cs="Calibri"/>
          <w:sz w:val="22"/>
          <w:szCs w:val="22"/>
          <w:lang w:val="en-AU"/>
        </w:rPr>
        <w:fldChar w:fldCharType="end"/>
      </w:r>
    </w:p>
    <w:sectPr w:rsidR="00F97620" w:rsidRPr="006B3866" w:rsidSect="000A6D19">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Times Roman"/>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BB"/>
    <w:rsid w:val="0004118E"/>
    <w:rsid w:val="00045573"/>
    <w:rsid w:val="000A6D19"/>
    <w:rsid w:val="00116CC9"/>
    <w:rsid w:val="001A21AD"/>
    <w:rsid w:val="002078AD"/>
    <w:rsid w:val="002226BB"/>
    <w:rsid w:val="00225236"/>
    <w:rsid w:val="002272B0"/>
    <w:rsid w:val="00300B92"/>
    <w:rsid w:val="0030585E"/>
    <w:rsid w:val="00387491"/>
    <w:rsid w:val="00447188"/>
    <w:rsid w:val="00483B05"/>
    <w:rsid w:val="004E28B9"/>
    <w:rsid w:val="004E5450"/>
    <w:rsid w:val="005226A8"/>
    <w:rsid w:val="0055229D"/>
    <w:rsid w:val="00562D19"/>
    <w:rsid w:val="0059609A"/>
    <w:rsid w:val="00597659"/>
    <w:rsid w:val="005E48A2"/>
    <w:rsid w:val="005F19FF"/>
    <w:rsid w:val="00624AF3"/>
    <w:rsid w:val="00637516"/>
    <w:rsid w:val="00641190"/>
    <w:rsid w:val="006448F3"/>
    <w:rsid w:val="006B3866"/>
    <w:rsid w:val="00711813"/>
    <w:rsid w:val="00721F60"/>
    <w:rsid w:val="00724E3C"/>
    <w:rsid w:val="00743C46"/>
    <w:rsid w:val="0076190A"/>
    <w:rsid w:val="007F65C9"/>
    <w:rsid w:val="008909C9"/>
    <w:rsid w:val="00947B77"/>
    <w:rsid w:val="009856DB"/>
    <w:rsid w:val="00997C34"/>
    <w:rsid w:val="009A4CFF"/>
    <w:rsid w:val="009B2641"/>
    <w:rsid w:val="009E2228"/>
    <w:rsid w:val="009F06D6"/>
    <w:rsid w:val="00A266B4"/>
    <w:rsid w:val="00AB351D"/>
    <w:rsid w:val="00AE5FB3"/>
    <w:rsid w:val="00BC5FCC"/>
    <w:rsid w:val="00BF2D9A"/>
    <w:rsid w:val="00C60A71"/>
    <w:rsid w:val="00C84577"/>
    <w:rsid w:val="00CC165A"/>
    <w:rsid w:val="00D55F3B"/>
    <w:rsid w:val="00DA2731"/>
    <w:rsid w:val="00DB4497"/>
    <w:rsid w:val="00DC0ABB"/>
    <w:rsid w:val="00DF1C8E"/>
    <w:rsid w:val="00E004B4"/>
    <w:rsid w:val="00EF12F3"/>
    <w:rsid w:val="00F11DA0"/>
    <w:rsid w:val="00F26BBE"/>
    <w:rsid w:val="00F97620"/>
    <w:rsid w:val="00FA7EBD"/>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1934</Words>
  <Characters>11029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12938</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Zoe Keogh</cp:lastModifiedBy>
  <cp:revision>2</cp:revision>
  <cp:lastPrinted>2013-06-13T05:15:00Z</cp:lastPrinted>
  <dcterms:created xsi:type="dcterms:W3CDTF">2019-12-12T10:49:00Z</dcterms:created>
  <dcterms:modified xsi:type="dcterms:W3CDTF">2019-12-12T10:49:00Z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id="http://www.zotero.org/styles/nature"/&gt;&lt;format class="21"/&gt;&lt;count citations="4" publications="3"/&gt;&lt;/info&gt;PAPERS2_INFO_END</vt:lpwstr>
  </property>
</Properties>
</file>