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93" w:rsidRPr="00A65393" w:rsidRDefault="00A65393" w:rsidP="00A65393">
      <w:pPr>
        <w:spacing w:after="0" w:line="240" w:lineRule="auto"/>
        <w:jc w:val="center"/>
        <w:rPr>
          <w:rFonts w:cstheme="minorHAnsi"/>
          <w:b/>
          <w:sz w:val="20"/>
          <w:szCs w:val="20"/>
        </w:rPr>
      </w:pPr>
      <w:r w:rsidRPr="00A65393">
        <w:rPr>
          <w:rFonts w:cstheme="minorHAnsi"/>
          <w:b/>
          <w:sz w:val="20"/>
          <w:szCs w:val="20"/>
        </w:rPr>
        <w:t>Polydatin as a potential solution</w:t>
      </w:r>
      <w:r w:rsidR="001F3346">
        <w:rPr>
          <w:rFonts w:cstheme="minorHAnsi"/>
          <w:b/>
          <w:sz w:val="20"/>
          <w:szCs w:val="20"/>
        </w:rPr>
        <w:t xml:space="preserve"> to alleviate lead-intoxicated</w:t>
      </w:r>
      <w:r w:rsidRPr="00A65393">
        <w:rPr>
          <w:rFonts w:cstheme="minorHAnsi"/>
          <w:b/>
          <w:sz w:val="20"/>
          <w:szCs w:val="20"/>
        </w:rPr>
        <w:t xml:space="preserve"> </w:t>
      </w:r>
      <w:r w:rsidR="009E1C7E" w:rsidRPr="00A65393">
        <w:rPr>
          <w:rFonts w:cstheme="minorHAnsi"/>
          <w:b/>
          <w:sz w:val="20"/>
          <w:szCs w:val="20"/>
        </w:rPr>
        <w:t>Wistar</w:t>
      </w:r>
      <w:r w:rsidRPr="00A65393">
        <w:rPr>
          <w:rFonts w:cstheme="minorHAnsi"/>
          <w:b/>
          <w:sz w:val="20"/>
          <w:szCs w:val="20"/>
        </w:rPr>
        <w:t xml:space="preserve"> rats</w:t>
      </w:r>
    </w:p>
    <w:p w:rsidR="00A65393" w:rsidRPr="00A65393" w:rsidRDefault="00A65393" w:rsidP="00A65393">
      <w:pPr>
        <w:spacing w:after="0" w:line="240" w:lineRule="auto"/>
        <w:ind w:right="-15"/>
        <w:jc w:val="center"/>
        <w:rPr>
          <w:rFonts w:cstheme="minorHAnsi"/>
          <w:sz w:val="20"/>
          <w:szCs w:val="20"/>
        </w:rPr>
      </w:pPr>
      <w:r w:rsidRPr="00A65393">
        <w:rPr>
          <w:rFonts w:cstheme="minorHAnsi"/>
          <w:sz w:val="20"/>
          <w:szCs w:val="20"/>
        </w:rPr>
        <w:t>Salisu Muhammad Highab</w:t>
      </w:r>
      <w:r w:rsidRPr="00A65393">
        <w:rPr>
          <w:rFonts w:cstheme="minorHAnsi"/>
          <w:sz w:val="20"/>
          <w:szCs w:val="20"/>
          <w:vertAlign w:val="superscript"/>
        </w:rPr>
        <w:t>1*</w:t>
      </w:r>
      <w:r w:rsidRPr="00A65393">
        <w:rPr>
          <w:rFonts w:cstheme="minorHAnsi"/>
          <w:sz w:val="20"/>
          <w:szCs w:val="20"/>
        </w:rPr>
        <w:t>,</w:t>
      </w:r>
      <w:r>
        <w:rPr>
          <w:rFonts w:cstheme="minorHAnsi"/>
          <w:sz w:val="20"/>
          <w:szCs w:val="20"/>
          <w:vertAlign w:val="superscript"/>
        </w:rPr>
        <w:t xml:space="preserve"> </w:t>
      </w:r>
      <w:proofErr w:type="spellStart"/>
      <w:r w:rsidRPr="00A65393">
        <w:rPr>
          <w:rFonts w:cstheme="minorHAnsi"/>
          <w:sz w:val="20"/>
          <w:szCs w:val="20"/>
        </w:rPr>
        <w:t>Abdulhakim</w:t>
      </w:r>
      <w:proofErr w:type="spellEnd"/>
      <w:r w:rsidRPr="00A65393">
        <w:rPr>
          <w:rFonts w:cstheme="minorHAnsi"/>
          <w:sz w:val="20"/>
          <w:szCs w:val="20"/>
        </w:rPr>
        <w:t xml:space="preserve"> Abubakar</w:t>
      </w:r>
      <w:r w:rsidRPr="00A65393">
        <w:rPr>
          <w:rFonts w:cstheme="minorHAnsi"/>
          <w:sz w:val="20"/>
          <w:szCs w:val="20"/>
          <w:vertAlign w:val="superscript"/>
        </w:rPr>
        <w:t>2</w:t>
      </w:r>
      <w:r w:rsidRPr="00A65393">
        <w:rPr>
          <w:rFonts w:cstheme="minorHAnsi"/>
          <w:sz w:val="20"/>
          <w:szCs w:val="20"/>
        </w:rPr>
        <w:t>,</w:t>
      </w:r>
      <w:r>
        <w:rPr>
          <w:rFonts w:cstheme="minorHAnsi"/>
          <w:sz w:val="20"/>
          <w:szCs w:val="20"/>
        </w:rPr>
        <w:t xml:space="preserve"> </w:t>
      </w:r>
      <w:proofErr w:type="spellStart"/>
      <w:r w:rsidR="009E1C7E">
        <w:rPr>
          <w:rFonts w:cstheme="minorHAnsi"/>
          <w:sz w:val="20"/>
          <w:szCs w:val="20"/>
        </w:rPr>
        <w:t>Rabiu</w:t>
      </w:r>
      <w:proofErr w:type="spellEnd"/>
      <w:r w:rsidR="009E1C7E">
        <w:rPr>
          <w:rFonts w:cstheme="minorHAnsi"/>
          <w:sz w:val="20"/>
          <w:szCs w:val="20"/>
        </w:rPr>
        <w:t xml:space="preserve"> </w:t>
      </w:r>
      <w:r w:rsidR="009E1C7E" w:rsidRPr="009E1C7E">
        <w:rPr>
          <w:rFonts w:cstheme="minorHAnsi"/>
          <w:sz w:val="20"/>
          <w:szCs w:val="20"/>
        </w:rPr>
        <w:t>Danraka</w:t>
      </w:r>
      <w:r w:rsidR="009E1C7E" w:rsidRPr="009E1C7E">
        <w:rPr>
          <w:rFonts w:cstheme="minorHAnsi"/>
          <w:sz w:val="20"/>
          <w:szCs w:val="20"/>
          <w:vertAlign w:val="superscript"/>
        </w:rPr>
        <w:t>2</w:t>
      </w:r>
      <w:r w:rsidR="009E1C7E">
        <w:rPr>
          <w:rFonts w:cstheme="minorHAnsi"/>
          <w:sz w:val="20"/>
          <w:szCs w:val="20"/>
        </w:rPr>
        <w:t xml:space="preserve">, </w:t>
      </w:r>
      <w:r w:rsidRPr="009E1C7E">
        <w:rPr>
          <w:rFonts w:cstheme="minorHAnsi"/>
          <w:sz w:val="20"/>
          <w:szCs w:val="20"/>
        </w:rPr>
        <w:t>Sunusi</w:t>
      </w:r>
      <w:r w:rsidRPr="00A65393">
        <w:rPr>
          <w:rFonts w:cstheme="minorHAnsi"/>
          <w:sz w:val="20"/>
          <w:szCs w:val="20"/>
        </w:rPr>
        <w:t xml:space="preserve"> Muhammad Salisu</w:t>
      </w:r>
      <w:r w:rsidRPr="00A65393">
        <w:rPr>
          <w:rFonts w:cstheme="minorHAnsi"/>
          <w:sz w:val="20"/>
          <w:szCs w:val="20"/>
          <w:vertAlign w:val="superscript"/>
        </w:rPr>
        <w:t>1</w:t>
      </w:r>
      <w:r w:rsidRPr="00A65393">
        <w:rPr>
          <w:rFonts w:cstheme="minorHAnsi"/>
          <w:sz w:val="20"/>
          <w:szCs w:val="20"/>
        </w:rPr>
        <w:t>,</w:t>
      </w:r>
      <w:r>
        <w:rPr>
          <w:rFonts w:cstheme="minorHAnsi"/>
          <w:sz w:val="20"/>
          <w:szCs w:val="20"/>
        </w:rPr>
        <w:t xml:space="preserve"> </w:t>
      </w:r>
      <w:proofErr w:type="spellStart"/>
      <w:r w:rsidRPr="00A65393">
        <w:rPr>
          <w:rFonts w:cstheme="minorHAnsi"/>
          <w:sz w:val="20"/>
          <w:szCs w:val="20"/>
        </w:rPr>
        <w:t>Nawiyyu</w:t>
      </w:r>
      <w:proofErr w:type="spellEnd"/>
      <w:r w:rsidRPr="00A65393">
        <w:rPr>
          <w:rFonts w:cstheme="minorHAnsi"/>
          <w:sz w:val="20"/>
          <w:szCs w:val="20"/>
        </w:rPr>
        <w:t xml:space="preserve"> Musa</w:t>
      </w:r>
      <w:r w:rsidRPr="00A65393">
        <w:rPr>
          <w:rFonts w:cstheme="minorHAnsi"/>
          <w:sz w:val="20"/>
          <w:szCs w:val="20"/>
          <w:vertAlign w:val="superscript"/>
        </w:rPr>
        <w:t>1</w:t>
      </w:r>
      <w:r w:rsidRPr="00A65393">
        <w:rPr>
          <w:rFonts w:cstheme="minorHAnsi"/>
          <w:sz w:val="20"/>
          <w:szCs w:val="20"/>
        </w:rPr>
        <w:t xml:space="preserve">, </w:t>
      </w:r>
      <w:proofErr w:type="spellStart"/>
      <w:r w:rsidRPr="00A65393">
        <w:rPr>
          <w:rFonts w:cstheme="minorHAnsi"/>
          <w:sz w:val="20"/>
          <w:szCs w:val="20"/>
        </w:rPr>
        <w:t>Jamilu</w:t>
      </w:r>
      <w:proofErr w:type="spellEnd"/>
      <w:r w:rsidRPr="00A65393">
        <w:rPr>
          <w:rFonts w:cstheme="minorHAnsi"/>
          <w:sz w:val="20"/>
          <w:szCs w:val="20"/>
        </w:rPr>
        <w:t xml:space="preserve"> Ya’u</w:t>
      </w:r>
      <w:r w:rsidRPr="00A65393">
        <w:rPr>
          <w:rFonts w:cstheme="minorHAnsi"/>
          <w:sz w:val="20"/>
          <w:szCs w:val="20"/>
          <w:vertAlign w:val="superscript"/>
        </w:rPr>
        <w:t>2</w:t>
      </w:r>
      <w:r w:rsidRPr="00A65393">
        <w:rPr>
          <w:rFonts w:cstheme="minorHAnsi"/>
          <w:sz w:val="20"/>
          <w:szCs w:val="20"/>
        </w:rPr>
        <w:t>,</w:t>
      </w:r>
      <w:r>
        <w:rPr>
          <w:rFonts w:cstheme="minorHAnsi"/>
          <w:sz w:val="20"/>
          <w:szCs w:val="20"/>
        </w:rPr>
        <w:t xml:space="preserve"> </w:t>
      </w:r>
      <w:r w:rsidRPr="00A65393">
        <w:rPr>
          <w:rFonts w:cstheme="minorHAnsi"/>
          <w:sz w:val="20"/>
          <w:szCs w:val="20"/>
        </w:rPr>
        <w:t xml:space="preserve">Muhammad </w:t>
      </w:r>
      <w:proofErr w:type="spellStart"/>
      <w:r w:rsidRPr="00A65393">
        <w:rPr>
          <w:rFonts w:cstheme="minorHAnsi"/>
          <w:sz w:val="20"/>
          <w:szCs w:val="20"/>
        </w:rPr>
        <w:t>Garba</w:t>
      </w:r>
      <w:proofErr w:type="spellEnd"/>
      <w:r w:rsidRPr="00A65393">
        <w:rPr>
          <w:rFonts w:cstheme="minorHAnsi"/>
          <w:sz w:val="20"/>
          <w:szCs w:val="20"/>
        </w:rPr>
        <w:t xml:space="preserve"> Magaji</w:t>
      </w:r>
      <w:r w:rsidRPr="00A65393">
        <w:rPr>
          <w:rFonts w:cstheme="minorHAnsi"/>
          <w:sz w:val="20"/>
          <w:szCs w:val="20"/>
          <w:vertAlign w:val="superscript"/>
        </w:rPr>
        <w:t xml:space="preserve">2 </w:t>
      </w:r>
      <w:r>
        <w:rPr>
          <w:rFonts w:cstheme="minorHAnsi"/>
          <w:sz w:val="20"/>
          <w:szCs w:val="20"/>
        </w:rPr>
        <w:t xml:space="preserve">&amp; </w:t>
      </w:r>
      <w:proofErr w:type="spellStart"/>
      <w:r w:rsidRPr="00A65393">
        <w:rPr>
          <w:rFonts w:cstheme="minorHAnsi"/>
          <w:sz w:val="20"/>
          <w:szCs w:val="20"/>
        </w:rPr>
        <w:t>Dalhatu</w:t>
      </w:r>
      <w:proofErr w:type="spellEnd"/>
      <w:r w:rsidRPr="00A65393">
        <w:rPr>
          <w:rFonts w:cstheme="minorHAnsi"/>
          <w:sz w:val="20"/>
          <w:szCs w:val="20"/>
        </w:rPr>
        <w:t xml:space="preserve"> </w:t>
      </w:r>
      <w:proofErr w:type="spellStart"/>
      <w:r w:rsidRPr="00A65393">
        <w:rPr>
          <w:rFonts w:cstheme="minorHAnsi"/>
          <w:sz w:val="20"/>
          <w:szCs w:val="20"/>
        </w:rPr>
        <w:t>Mukhtar</w:t>
      </w:r>
      <w:proofErr w:type="spellEnd"/>
      <w:r w:rsidRPr="00A65393">
        <w:rPr>
          <w:rFonts w:cstheme="minorHAnsi"/>
          <w:sz w:val="20"/>
          <w:szCs w:val="20"/>
        </w:rPr>
        <w:t xml:space="preserve"> Shehu</w:t>
      </w:r>
      <w:r w:rsidRPr="00A65393">
        <w:rPr>
          <w:rFonts w:cstheme="minorHAnsi"/>
          <w:sz w:val="20"/>
          <w:szCs w:val="20"/>
          <w:vertAlign w:val="superscript"/>
        </w:rPr>
        <w:t>3</w:t>
      </w:r>
      <w:r w:rsidRPr="00A65393">
        <w:rPr>
          <w:rFonts w:cstheme="minorHAnsi"/>
          <w:sz w:val="20"/>
          <w:szCs w:val="20"/>
        </w:rPr>
        <w:t xml:space="preserve"> </w:t>
      </w:r>
    </w:p>
    <w:p w:rsidR="00A65393" w:rsidRPr="00A65393" w:rsidRDefault="00A65393" w:rsidP="00A65393">
      <w:pPr>
        <w:spacing w:after="0" w:line="240" w:lineRule="auto"/>
        <w:ind w:right="-15"/>
        <w:jc w:val="center"/>
        <w:rPr>
          <w:rFonts w:cstheme="minorHAnsi"/>
          <w:sz w:val="20"/>
          <w:szCs w:val="20"/>
        </w:rPr>
      </w:pPr>
      <w:r w:rsidRPr="00A65393">
        <w:rPr>
          <w:rFonts w:cstheme="minorHAnsi"/>
          <w:sz w:val="20"/>
          <w:szCs w:val="20"/>
          <w:vertAlign w:val="superscript"/>
        </w:rPr>
        <w:t>1</w:t>
      </w:r>
      <w:r w:rsidRPr="00A65393">
        <w:rPr>
          <w:rFonts w:cstheme="minorHAnsi"/>
          <w:sz w:val="20"/>
          <w:szCs w:val="20"/>
        </w:rPr>
        <w:t xml:space="preserve">Department of Clinical Pharmacology and Therapeutics, Faculty of Basic Clinical Sciences, College of Medicine and Allied Medical Sciences, Federal University Dutse, </w:t>
      </w:r>
      <w:proofErr w:type="spellStart"/>
      <w:r w:rsidRPr="00A65393">
        <w:rPr>
          <w:rFonts w:cstheme="minorHAnsi"/>
          <w:sz w:val="20"/>
          <w:szCs w:val="20"/>
        </w:rPr>
        <w:t>Jigawa</w:t>
      </w:r>
      <w:proofErr w:type="spellEnd"/>
      <w:r w:rsidRPr="00A65393">
        <w:rPr>
          <w:rFonts w:cstheme="minorHAnsi"/>
          <w:sz w:val="20"/>
          <w:szCs w:val="20"/>
        </w:rPr>
        <w:t xml:space="preserve"> State, Nigeria.</w:t>
      </w:r>
    </w:p>
    <w:p w:rsidR="00A65393" w:rsidRPr="00A65393" w:rsidRDefault="00A65393" w:rsidP="00A65393">
      <w:pPr>
        <w:spacing w:after="0" w:line="240" w:lineRule="auto"/>
        <w:ind w:right="-15"/>
        <w:jc w:val="center"/>
        <w:rPr>
          <w:rFonts w:cstheme="minorHAnsi"/>
          <w:sz w:val="20"/>
          <w:szCs w:val="20"/>
        </w:rPr>
      </w:pPr>
      <w:r w:rsidRPr="00A65393">
        <w:rPr>
          <w:rFonts w:cstheme="minorHAnsi"/>
          <w:sz w:val="20"/>
          <w:szCs w:val="20"/>
          <w:vertAlign w:val="superscript"/>
        </w:rPr>
        <w:t>2</w:t>
      </w:r>
      <w:r w:rsidRPr="00A65393">
        <w:rPr>
          <w:rFonts w:cstheme="minorHAnsi"/>
          <w:sz w:val="20"/>
          <w:szCs w:val="20"/>
        </w:rPr>
        <w:t>Department of Pharmacology and Therapeutics, Faculty of Pharmaceutical Sciences,</w:t>
      </w:r>
      <w:bookmarkStart w:id="0" w:name="_GoBack"/>
      <w:bookmarkEnd w:id="0"/>
      <w:r w:rsidRPr="00A65393">
        <w:rPr>
          <w:rFonts w:cstheme="minorHAnsi"/>
          <w:sz w:val="20"/>
          <w:szCs w:val="20"/>
        </w:rPr>
        <w:t xml:space="preserve"> Ahmadu Bello University, Zaria, Kaduna State, Nigeria.</w:t>
      </w:r>
    </w:p>
    <w:p w:rsidR="00A65393" w:rsidRPr="00A65393" w:rsidRDefault="00A65393" w:rsidP="00A65393">
      <w:pPr>
        <w:spacing w:after="0" w:line="240" w:lineRule="auto"/>
        <w:ind w:right="-15"/>
        <w:jc w:val="center"/>
        <w:rPr>
          <w:rFonts w:cstheme="minorHAnsi"/>
          <w:sz w:val="20"/>
          <w:szCs w:val="20"/>
        </w:rPr>
      </w:pPr>
      <w:r w:rsidRPr="00A65393">
        <w:rPr>
          <w:rFonts w:cstheme="minorHAnsi"/>
          <w:sz w:val="20"/>
          <w:szCs w:val="20"/>
          <w:vertAlign w:val="superscript"/>
        </w:rPr>
        <w:t>3</w:t>
      </w:r>
      <w:r w:rsidRPr="00A65393">
        <w:rPr>
          <w:rFonts w:cstheme="minorHAnsi"/>
          <w:sz w:val="20"/>
          <w:szCs w:val="20"/>
        </w:rPr>
        <w:t>Department of Zoology, Faculty of Life Sciences, Ahmadu Bello University, Zaria, Kaduna State, Nigeria.</w:t>
      </w:r>
    </w:p>
    <w:p w:rsidR="00A65393" w:rsidRPr="00A65393" w:rsidRDefault="00A65393" w:rsidP="00A65393">
      <w:pPr>
        <w:spacing w:after="0" w:line="240" w:lineRule="auto"/>
        <w:ind w:right="-15"/>
        <w:rPr>
          <w:rFonts w:cstheme="minorHAnsi"/>
          <w:sz w:val="20"/>
          <w:szCs w:val="20"/>
        </w:rPr>
      </w:pPr>
    </w:p>
    <w:p w:rsidR="00A65393" w:rsidRPr="00A65393" w:rsidRDefault="00A65393" w:rsidP="00A65393">
      <w:pPr>
        <w:autoSpaceDE w:val="0"/>
        <w:autoSpaceDN w:val="0"/>
        <w:adjustRightInd w:val="0"/>
        <w:spacing w:after="0" w:line="240" w:lineRule="auto"/>
        <w:jc w:val="center"/>
        <w:rPr>
          <w:rFonts w:cstheme="minorHAnsi"/>
          <w:sz w:val="20"/>
          <w:szCs w:val="20"/>
        </w:rPr>
      </w:pPr>
      <w:r w:rsidRPr="00A65393">
        <w:rPr>
          <w:rFonts w:cstheme="minorHAnsi"/>
          <w:sz w:val="20"/>
          <w:szCs w:val="20"/>
        </w:rPr>
        <w:t xml:space="preserve">*Corresponding author: </w:t>
      </w:r>
      <w:hyperlink r:id="rId4" w:history="1">
        <w:r w:rsidRPr="00A65393">
          <w:rPr>
            <w:rStyle w:val="Hyperlink"/>
            <w:rFonts w:cstheme="minorHAnsi"/>
            <w:sz w:val="20"/>
            <w:szCs w:val="20"/>
          </w:rPr>
          <w:t>smhighab@gmail.com</w:t>
        </w:r>
      </w:hyperlink>
      <w:r w:rsidRPr="00A65393">
        <w:rPr>
          <w:rFonts w:cstheme="minorHAnsi"/>
          <w:sz w:val="20"/>
          <w:szCs w:val="20"/>
        </w:rPr>
        <w:t>, +2347036357517</w:t>
      </w:r>
    </w:p>
    <w:p w:rsidR="00A65393" w:rsidRPr="00A65393" w:rsidRDefault="00A65393" w:rsidP="00A65393">
      <w:pPr>
        <w:autoSpaceDE w:val="0"/>
        <w:autoSpaceDN w:val="0"/>
        <w:adjustRightInd w:val="0"/>
        <w:spacing w:after="0" w:line="240" w:lineRule="auto"/>
        <w:jc w:val="center"/>
        <w:rPr>
          <w:rFonts w:cstheme="minorHAnsi"/>
          <w:sz w:val="20"/>
          <w:szCs w:val="20"/>
        </w:rPr>
      </w:pPr>
    </w:p>
    <w:p w:rsidR="00A65393" w:rsidRPr="00A65393" w:rsidRDefault="00A65393" w:rsidP="00A65393">
      <w:pPr>
        <w:jc w:val="both"/>
        <w:rPr>
          <w:rFonts w:cstheme="minorHAnsi"/>
          <w:b/>
          <w:sz w:val="20"/>
          <w:szCs w:val="20"/>
        </w:rPr>
      </w:pPr>
      <w:r w:rsidRPr="00A65393">
        <w:rPr>
          <w:rFonts w:cstheme="minorHAnsi"/>
          <w:b/>
          <w:sz w:val="20"/>
          <w:szCs w:val="20"/>
        </w:rPr>
        <w:t>ABSTRACT</w:t>
      </w:r>
    </w:p>
    <w:p w:rsidR="00A65393" w:rsidRDefault="00A65393" w:rsidP="001F3346">
      <w:pPr>
        <w:spacing w:after="0" w:line="360" w:lineRule="auto"/>
        <w:jc w:val="both"/>
        <w:rPr>
          <w:rFonts w:cstheme="minorHAnsi"/>
          <w:sz w:val="20"/>
          <w:szCs w:val="20"/>
        </w:rPr>
      </w:pPr>
      <w:r w:rsidRPr="00A65393">
        <w:rPr>
          <w:rFonts w:cstheme="minorHAnsi"/>
          <w:b/>
          <w:sz w:val="20"/>
          <w:szCs w:val="20"/>
        </w:rPr>
        <w:t>Introduction</w:t>
      </w:r>
      <w:r w:rsidRPr="00A65393">
        <w:rPr>
          <w:rFonts w:cstheme="minorHAnsi"/>
          <w:sz w:val="20"/>
          <w:szCs w:val="20"/>
        </w:rPr>
        <w:t xml:space="preserve">: Lead is among the most prevalent heavy metals and is highly toxic to living organisms. Polydatin (PD), or </w:t>
      </w:r>
      <w:proofErr w:type="spellStart"/>
      <w:r w:rsidRPr="00A65393">
        <w:rPr>
          <w:rFonts w:cstheme="minorHAnsi"/>
          <w:sz w:val="20"/>
          <w:szCs w:val="20"/>
        </w:rPr>
        <w:t>piceid</w:t>
      </w:r>
      <w:proofErr w:type="spellEnd"/>
      <w:r w:rsidRPr="00A65393">
        <w:rPr>
          <w:rFonts w:cstheme="minorHAnsi"/>
          <w:sz w:val="20"/>
          <w:szCs w:val="20"/>
        </w:rPr>
        <w:t xml:space="preserve"> (3, 4′, 5-trihydroxystilbene-3-β-D-</w:t>
      </w:r>
      <w:proofErr w:type="spellStart"/>
      <w:r w:rsidRPr="00A65393">
        <w:rPr>
          <w:rFonts w:cstheme="minorHAnsi"/>
          <w:sz w:val="20"/>
          <w:szCs w:val="20"/>
        </w:rPr>
        <w:t>glucoside</w:t>
      </w:r>
      <w:proofErr w:type="spellEnd"/>
      <w:r w:rsidRPr="00A65393">
        <w:rPr>
          <w:rFonts w:cstheme="minorHAnsi"/>
          <w:sz w:val="20"/>
          <w:szCs w:val="20"/>
        </w:rPr>
        <w:t xml:space="preserve">), is a crystal compound extracted from </w:t>
      </w:r>
      <w:proofErr w:type="spellStart"/>
      <w:r w:rsidRPr="00A65393">
        <w:rPr>
          <w:rFonts w:cstheme="minorHAnsi"/>
          <w:i/>
          <w:sz w:val="20"/>
          <w:szCs w:val="20"/>
        </w:rPr>
        <w:t>Polygonum</w:t>
      </w:r>
      <w:proofErr w:type="spellEnd"/>
      <w:r w:rsidRPr="00A65393">
        <w:rPr>
          <w:rFonts w:cstheme="minorHAnsi"/>
          <w:i/>
          <w:sz w:val="20"/>
          <w:szCs w:val="20"/>
        </w:rPr>
        <w:t xml:space="preserve"> cuspidatum </w:t>
      </w:r>
      <w:proofErr w:type="spellStart"/>
      <w:r w:rsidRPr="00A65393">
        <w:rPr>
          <w:rFonts w:cstheme="minorHAnsi"/>
          <w:sz w:val="20"/>
          <w:szCs w:val="20"/>
        </w:rPr>
        <w:t>Sieb</w:t>
      </w:r>
      <w:proofErr w:type="spellEnd"/>
      <w:r w:rsidRPr="00A65393">
        <w:rPr>
          <w:rFonts w:cstheme="minorHAnsi"/>
          <w:sz w:val="20"/>
          <w:szCs w:val="20"/>
        </w:rPr>
        <w:t xml:space="preserve">. </w:t>
      </w:r>
      <w:proofErr w:type="gramStart"/>
      <w:r w:rsidRPr="00A65393">
        <w:rPr>
          <w:rFonts w:cstheme="minorHAnsi"/>
          <w:sz w:val="20"/>
          <w:szCs w:val="20"/>
        </w:rPr>
        <w:t>et</w:t>
      </w:r>
      <w:proofErr w:type="gramEnd"/>
      <w:r w:rsidRPr="00A65393">
        <w:rPr>
          <w:rFonts w:cstheme="minorHAnsi"/>
          <w:sz w:val="20"/>
          <w:szCs w:val="20"/>
        </w:rPr>
        <w:t xml:space="preserve"> </w:t>
      </w:r>
      <w:proofErr w:type="spellStart"/>
      <w:r w:rsidRPr="00A65393">
        <w:rPr>
          <w:rFonts w:cstheme="minorHAnsi"/>
          <w:sz w:val="20"/>
          <w:szCs w:val="20"/>
        </w:rPr>
        <w:t>Zucc</w:t>
      </w:r>
      <w:proofErr w:type="spellEnd"/>
      <w:r w:rsidRPr="00A65393">
        <w:rPr>
          <w:rFonts w:cstheme="minorHAnsi"/>
          <w:sz w:val="20"/>
          <w:szCs w:val="20"/>
        </w:rPr>
        <w:t>. (</w:t>
      </w:r>
      <w:proofErr w:type="spellStart"/>
      <w:r w:rsidRPr="00A65393">
        <w:rPr>
          <w:rFonts w:cstheme="minorHAnsi"/>
          <w:sz w:val="20"/>
          <w:szCs w:val="20"/>
        </w:rPr>
        <w:t>Polygonaceae</w:t>
      </w:r>
      <w:proofErr w:type="spellEnd"/>
      <w:r w:rsidRPr="00A65393">
        <w:rPr>
          <w:rFonts w:cstheme="minorHAnsi"/>
          <w:sz w:val="20"/>
          <w:szCs w:val="20"/>
        </w:rPr>
        <w:t xml:space="preserve">), but it can also be found in various fruits and commonly consumed foods. </w:t>
      </w:r>
      <w:r w:rsidRPr="00A65393">
        <w:rPr>
          <w:rFonts w:cstheme="minorHAnsi"/>
          <w:b/>
          <w:sz w:val="20"/>
          <w:szCs w:val="20"/>
        </w:rPr>
        <w:t>Aim</w:t>
      </w:r>
      <w:r w:rsidR="001F3346">
        <w:rPr>
          <w:rFonts w:cstheme="minorHAnsi"/>
          <w:sz w:val="20"/>
          <w:szCs w:val="20"/>
        </w:rPr>
        <w:t xml:space="preserve">: </w:t>
      </w:r>
      <w:r w:rsidR="001F3346" w:rsidRPr="001F3346">
        <w:rPr>
          <w:rFonts w:cstheme="minorHAnsi"/>
          <w:sz w:val="20"/>
          <w:szCs w:val="20"/>
        </w:rPr>
        <w:t>Polydatin as a potential solution to alleviate lead-intoxicated Wistar rats</w:t>
      </w:r>
      <w:r w:rsidR="001F3346">
        <w:rPr>
          <w:rFonts w:cstheme="minorHAnsi"/>
          <w:sz w:val="20"/>
          <w:szCs w:val="20"/>
        </w:rPr>
        <w:t>.</w:t>
      </w:r>
    </w:p>
    <w:p w:rsidR="001F3346" w:rsidRPr="001F3346" w:rsidRDefault="001F3346" w:rsidP="001F3346">
      <w:pPr>
        <w:spacing w:after="0" w:line="240" w:lineRule="auto"/>
        <w:jc w:val="both"/>
        <w:rPr>
          <w:rFonts w:cstheme="minorHAnsi"/>
          <w:b/>
          <w:sz w:val="20"/>
          <w:szCs w:val="20"/>
        </w:rPr>
      </w:pPr>
    </w:p>
    <w:p w:rsidR="00A65393" w:rsidRPr="00A65393" w:rsidRDefault="00A65393" w:rsidP="00A65393">
      <w:pPr>
        <w:spacing w:line="360" w:lineRule="auto"/>
        <w:jc w:val="both"/>
        <w:rPr>
          <w:rFonts w:cstheme="minorHAnsi"/>
          <w:sz w:val="20"/>
          <w:szCs w:val="20"/>
        </w:rPr>
      </w:pPr>
      <w:r w:rsidRPr="00A65393">
        <w:rPr>
          <w:rFonts w:cstheme="minorHAnsi"/>
          <w:b/>
          <w:sz w:val="20"/>
          <w:szCs w:val="20"/>
        </w:rPr>
        <w:t>Methods</w:t>
      </w:r>
      <w:r w:rsidRPr="00A65393">
        <w:rPr>
          <w:rFonts w:cstheme="minorHAnsi"/>
          <w:sz w:val="20"/>
          <w:szCs w:val="20"/>
        </w:rPr>
        <w:t xml:space="preserve">: Acute toxicity was done according to OECD 425 Guideline.  The sub-chronic toxicity assessment was done using the OECD 407 Guideline where lead acetate (PbAc) was administered for 90 days, followed by a 30-day treatment with PD. The groups included: Control DW (1 mL/kg); PbAc (120 mg/kg); PbAc (120 mg/kg) + PD (250 mg/kg); PbAc (120 mg/kg) + PD (500 mg/kg); PbAc (120 mg/kg) + PD (1000 mg/kg); and PbAc (120 mg/kg) + DMSA (10 mg/kg), all given daily for 16 weeks orally. At the conclusion of the treatment period, samples of blood, plasma, and brain were analyzed for hematological indicators, pro-inflammatory markers, immunohistochemical and histopathological features. </w:t>
      </w:r>
    </w:p>
    <w:p w:rsidR="00A65393" w:rsidRPr="00A65393" w:rsidRDefault="00A65393" w:rsidP="00A65393">
      <w:pPr>
        <w:spacing w:line="360" w:lineRule="auto"/>
        <w:jc w:val="both"/>
        <w:rPr>
          <w:rFonts w:cstheme="minorHAnsi"/>
          <w:bCs/>
          <w:sz w:val="20"/>
          <w:szCs w:val="20"/>
        </w:rPr>
      </w:pPr>
      <w:r w:rsidRPr="00A65393">
        <w:rPr>
          <w:rFonts w:cstheme="minorHAnsi"/>
          <w:b/>
          <w:sz w:val="20"/>
          <w:szCs w:val="20"/>
        </w:rPr>
        <w:t>Results</w:t>
      </w:r>
      <w:r w:rsidRPr="00A65393">
        <w:rPr>
          <w:rFonts w:cstheme="minorHAnsi"/>
          <w:sz w:val="20"/>
          <w:szCs w:val="20"/>
        </w:rPr>
        <w:t xml:space="preserve">: </w:t>
      </w:r>
      <w:r w:rsidRPr="00A65393">
        <w:rPr>
          <w:rFonts w:cstheme="minorHAnsi"/>
          <w:bCs/>
          <w:sz w:val="20"/>
          <w:szCs w:val="20"/>
        </w:rPr>
        <w:t>PD significantly (</w:t>
      </w:r>
      <w:r w:rsidRPr="00A65393">
        <w:rPr>
          <w:rFonts w:cstheme="minorHAnsi"/>
          <w:bCs/>
          <w:i/>
          <w:sz w:val="20"/>
          <w:szCs w:val="20"/>
        </w:rPr>
        <w:t>p</w:t>
      </w:r>
      <w:r w:rsidRPr="00A65393">
        <w:rPr>
          <w:rFonts w:cstheme="minorHAnsi"/>
          <w:bCs/>
          <w:sz w:val="20"/>
          <w:szCs w:val="20"/>
        </w:rPr>
        <w:t xml:space="preserve"> ˂ 0.05) improved hematological parameters in PbAc-intoxicated rats. </w:t>
      </w:r>
      <w:bookmarkStart w:id="1" w:name="OLE_LINK16"/>
      <w:r w:rsidRPr="00A65393">
        <w:rPr>
          <w:rFonts w:cstheme="minorHAnsi"/>
          <w:bCs/>
          <w:sz w:val="20"/>
          <w:szCs w:val="20"/>
        </w:rPr>
        <w:t>PD significantly (</w:t>
      </w:r>
      <w:r w:rsidRPr="00A65393">
        <w:rPr>
          <w:rFonts w:cstheme="minorHAnsi"/>
          <w:bCs/>
          <w:i/>
          <w:sz w:val="20"/>
          <w:szCs w:val="20"/>
        </w:rPr>
        <w:t>p</w:t>
      </w:r>
      <w:r w:rsidRPr="00A65393">
        <w:rPr>
          <w:rFonts w:cstheme="minorHAnsi"/>
          <w:bCs/>
          <w:sz w:val="20"/>
          <w:szCs w:val="20"/>
        </w:rPr>
        <w:t xml:space="preserve"> ˂ 0.0001) decreased the levels of pro-inflammatory cytokines (IL-1β, IL-6 and TNF-α) both in serum and brain homogenate of PbAc-intoxicated rats.</w:t>
      </w:r>
      <w:bookmarkEnd w:id="1"/>
      <w:r w:rsidRPr="00A65393">
        <w:rPr>
          <w:rFonts w:cstheme="minorHAnsi"/>
          <w:bCs/>
          <w:sz w:val="20"/>
          <w:szCs w:val="20"/>
        </w:rPr>
        <w:t xml:space="preserve">  Histological findings revealed that PD significantly restored the lesions caused by PbAc in PbAc-intoxicate Wistar rats’ brain. Moreover, PD significantly (</w:t>
      </w:r>
      <w:r w:rsidRPr="00A65393">
        <w:rPr>
          <w:rFonts w:cstheme="minorHAnsi"/>
          <w:bCs/>
          <w:i/>
          <w:sz w:val="20"/>
          <w:szCs w:val="20"/>
        </w:rPr>
        <w:t>p</w:t>
      </w:r>
      <w:r w:rsidRPr="00A65393">
        <w:rPr>
          <w:rFonts w:cstheme="minorHAnsi"/>
          <w:bCs/>
          <w:sz w:val="20"/>
          <w:szCs w:val="20"/>
        </w:rPr>
        <w:t xml:space="preserve"> ˂ 0.05) reduced glial fibrillary acid protein (GFAP) and increased brain derived neurotrophic factor (BDNF) expressions in the brains of PbAc-intoxicated rats. </w:t>
      </w:r>
    </w:p>
    <w:p w:rsidR="00A65393" w:rsidRPr="00A65393" w:rsidRDefault="00A65393" w:rsidP="00A65393">
      <w:pPr>
        <w:spacing w:line="360" w:lineRule="auto"/>
        <w:jc w:val="both"/>
        <w:rPr>
          <w:rFonts w:cstheme="minorHAnsi"/>
          <w:sz w:val="20"/>
          <w:szCs w:val="20"/>
        </w:rPr>
      </w:pPr>
      <w:r w:rsidRPr="00A65393">
        <w:rPr>
          <w:rFonts w:cstheme="minorHAnsi"/>
          <w:b/>
          <w:bCs/>
          <w:sz w:val="20"/>
          <w:szCs w:val="20"/>
        </w:rPr>
        <w:t>Conclusion</w:t>
      </w:r>
      <w:r w:rsidRPr="00A65393">
        <w:rPr>
          <w:rFonts w:cstheme="minorHAnsi"/>
          <w:bCs/>
          <w:sz w:val="20"/>
          <w:szCs w:val="20"/>
        </w:rPr>
        <w:t xml:space="preserve">: </w:t>
      </w:r>
      <w:r w:rsidRPr="00A65393">
        <w:rPr>
          <w:rFonts w:cstheme="minorHAnsi"/>
          <w:sz w:val="20"/>
          <w:szCs w:val="20"/>
        </w:rPr>
        <w:t>The results indicate that polydatin prevented Wistar rats from lead toxicity, likely due to its ability to restore normal hematological values, reduce inflammatory responses, and mitigate immunohistochemical and histopathological changes. It may also offer therapeutic promise as a treatment for lead poisoning in humans.</w:t>
      </w:r>
    </w:p>
    <w:p w:rsidR="00A65393" w:rsidRPr="00A65393" w:rsidRDefault="00A65393" w:rsidP="00A65393">
      <w:pPr>
        <w:pStyle w:val="NormalWeb"/>
        <w:spacing w:before="240" w:beforeAutospacing="0" w:line="360" w:lineRule="auto"/>
        <w:jc w:val="both"/>
        <w:rPr>
          <w:rFonts w:asciiTheme="minorHAnsi" w:hAnsiTheme="minorHAnsi" w:cstheme="minorHAnsi"/>
          <w:color w:val="333333"/>
          <w:sz w:val="20"/>
          <w:szCs w:val="20"/>
        </w:rPr>
      </w:pPr>
      <w:r w:rsidRPr="00A65393">
        <w:rPr>
          <w:rStyle w:val="Strong"/>
          <w:rFonts w:asciiTheme="minorHAnsi" w:eastAsiaTheme="majorEastAsia" w:hAnsiTheme="minorHAnsi" w:cstheme="minorHAnsi"/>
          <w:color w:val="222222"/>
          <w:sz w:val="20"/>
          <w:szCs w:val="20"/>
        </w:rPr>
        <w:t>Significance Statement:</w:t>
      </w:r>
      <w:r w:rsidRPr="00A65393">
        <w:rPr>
          <w:rFonts w:asciiTheme="minorHAnsi" w:hAnsiTheme="minorHAnsi" w:cstheme="minorHAnsi"/>
          <w:color w:val="333333"/>
          <w:sz w:val="20"/>
          <w:szCs w:val="20"/>
        </w:rPr>
        <w:t xml:space="preserve"> Polydatin may serve as the basis for novel molecules with a protective profile and improved efficacy against lead toxicity. Research on polydatin's potential as a chelating agent or antidote for lead poisoning is desirable due to these important properties.</w:t>
      </w:r>
    </w:p>
    <w:p w:rsidR="00A65393" w:rsidRPr="00A65393" w:rsidRDefault="00A65393" w:rsidP="00A65393">
      <w:pPr>
        <w:spacing w:line="360" w:lineRule="auto"/>
        <w:jc w:val="both"/>
        <w:rPr>
          <w:rFonts w:cstheme="minorHAnsi"/>
          <w:sz w:val="20"/>
          <w:szCs w:val="20"/>
        </w:rPr>
      </w:pPr>
      <w:r w:rsidRPr="00A65393">
        <w:rPr>
          <w:rFonts w:cstheme="minorHAnsi"/>
          <w:b/>
          <w:sz w:val="20"/>
          <w:szCs w:val="20"/>
        </w:rPr>
        <w:t>Key words</w:t>
      </w:r>
      <w:r w:rsidRPr="00A65393">
        <w:rPr>
          <w:rFonts w:cstheme="minorHAnsi"/>
          <w:sz w:val="20"/>
          <w:szCs w:val="20"/>
        </w:rPr>
        <w:t>: Polydatin; Wistar rat; Haematological indicators; Lead acetate; Immunohistochemical markers; Pro-inflammatory cytokines.</w:t>
      </w:r>
    </w:p>
    <w:sectPr w:rsidR="00A65393" w:rsidRPr="00A65393" w:rsidSect="00A6539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93"/>
    <w:rsid w:val="001F3346"/>
    <w:rsid w:val="006B2452"/>
    <w:rsid w:val="009E1C7E"/>
    <w:rsid w:val="00A6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DFD7D-90E6-4B43-A1C4-6583265A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3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5393"/>
    <w:rPr>
      <w:color w:val="0563C1"/>
      <w:u w:val="single"/>
    </w:rPr>
  </w:style>
  <w:style w:type="paragraph" w:styleId="NormalWeb">
    <w:name w:val="Normal (Web)"/>
    <w:basedOn w:val="Normal"/>
    <w:uiPriority w:val="99"/>
    <w:unhideWhenUsed/>
    <w:rsid w:val="00A65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high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434</Words>
  <Characters>2733</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2025-09-04T10:16:00Z</dcterms:created>
  <dcterms:modified xsi:type="dcterms:W3CDTF">2025-09-11T15:36:00Z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c30d9bd1-edc3-4a71-a22f-104b7db99b5a</vt:lpwstr>
  </property>
</Properties>
</file>