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6F1B9" w14:textId="4358DF3E" w:rsidR="00C315D2" w:rsidRPr="00C315D2" w:rsidRDefault="00A4518D" w:rsidP="001E7BF2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A4518D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Innovation of </w:t>
      </w:r>
      <w:proofErr w:type="spellStart"/>
      <w:r w:rsidRPr="00A4518D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konjac</w:t>
      </w:r>
      <w:proofErr w:type="spellEnd"/>
      <w:r w:rsidRPr="00A4518D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A4518D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glucomannan</w:t>
      </w:r>
      <w:proofErr w:type="spellEnd"/>
      <w:r w:rsidR="00FB1CD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polymer for </w:t>
      </w:r>
      <w:r w:rsidR="007477AC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inhalation </w:t>
      </w:r>
      <w:r w:rsidRPr="00A4518D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microspheres</w:t>
      </w:r>
      <w:r w:rsidR="00FB1CD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delivery system</w:t>
      </w:r>
    </w:p>
    <w:p w14:paraId="79141BD9" w14:textId="426B6A14" w:rsidR="00C315D2" w:rsidRDefault="0086454F" w:rsidP="001E7BF2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proofErr w:type="spellStart"/>
      <w:r w:rsidRPr="0086454F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Dewi</w:t>
      </w:r>
      <w:proofErr w:type="spellEnd"/>
      <w:r w:rsidRPr="0086454F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 xml:space="preserve"> </w:t>
      </w:r>
      <w:proofErr w:type="spellStart"/>
      <w:r w:rsidRPr="0086454F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Melani</w:t>
      </w:r>
      <w:proofErr w:type="spellEnd"/>
      <w:r w:rsidRPr="0086454F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 xml:space="preserve"> Hariyadi</w:t>
      </w:r>
      <w:r w:rsidRPr="0000410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¹</w:t>
      </w:r>
      <w:proofErr w:type="gramStart"/>
      <w:r w:rsidR="0000410E" w:rsidRPr="0000410E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,</w:t>
      </w:r>
      <w:r w:rsidRPr="0000410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²</w:t>
      </w:r>
      <w:r w:rsidR="0000410E" w:rsidRPr="0000410E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,</w:t>
      </w:r>
      <w:r w:rsidRPr="0000410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³</w:t>
      </w:r>
      <w:r w:rsidR="0000410E" w:rsidRPr="0000410E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,</w:t>
      </w:r>
      <w:r w:rsidRPr="0000410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⁴</w:t>
      </w:r>
      <w:proofErr w:type="gramEnd"/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Yuyun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Nailufa</w:t>
      </w:r>
      <w:proofErr w:type="spellEnd"/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⁵</w:t>
      </w:r>
      <w:r w:rsidR="0000410E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,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⁶</w:t>
      </w: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A81C30" w:rsidRP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</w:t>
      </w:r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iastry</w:t>
      </w:r>
      <w:proofErr w:type="spellEnd"/>
      <w:r w:rsidR="00A81C30" w:rsidRP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A81C30" w:rsidRP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</w:t>
      </w:r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auziyah</w:t>
      </w:r>
      <w:proofErr w:type="spellEnd"/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Hardlin</w:t>
      </w:r>
      <w:r w:rsidR="00A81C30" w:rsidRPr="00A81C30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7</w:t>
      </w:r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Dewi</w:t>
      </w:r>
      <w:proofErr w:type="spellEnd"/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Isadiartuti</w:t>
      </w:r>
      <w:r w:rsidR="00A81C3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¹</w:t>
      </w:r>
      <w:r w:rsidR="00A81C30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,</w:t>
      </w:r>
      <w:r w:rsidR="00A81C3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²</w:t>
      </w:r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Noorma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Rosita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¹</w:t>
      </w:r>
      <w:r w:rsidR="0000410E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,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²</w:t>
      </w:r>
      <w:r w:rsidR="0000410E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,</w:t>
      </w:r>
      <w:bookmarkStart w:id="0" w:name="_GoBack"/>
      <w:bookmarkEnd w:id="0"/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⁴</w:t>
      </w:r>
    </w:p>
    <w:p w14:paraId="287DD63A" w14:textId="189F16E4" w:rsidR="0086454F" w:rsidRDefault="0086454F" w:rsidP="001E7BF2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 of Pharmaceutical Sciences, Faculty of Pharmacy, Universitas Airlangga</w:t>
      </w:r>
      <w:r w:rsidR="004F58C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Campus C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Mulyorejo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Surabaya 60115, Indonesia</w:t>
      </w:r>
    </w:p>
    <w:p w14:paraId="3A92EF7D" w14:textId="383CF72A" w:rsidR="0086454F" w:rsidRDefault="0086454F" w:rsidP="001E7BF2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Pharmaceutic</w:t>
      </w:r>
      <w:r w:rsidR="001E7BF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Delivery for Drugs, Cosmetic and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Nanomedicine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(Pharm-DCN) Research Group</w:t>
      </w:r>
      <w:r w:rsidR="004F58C8" w:rsidRPr="001E7BF2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2</w:t>
      </w: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Faculty of Pharmacy, Universitas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Airlangga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Campus C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Mulyorejo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Surabaya, 60115, Indonesia</w:t>
      </w:r>
    </w:p>
    <w:p w14:paraId="604A346D" w14:textId="4702E394" w:rsidR="0086454F" w:rsidRDefault="0086454F" w:rsidP="001E7BF2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Inter-University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Center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Excellence (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IUCoE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 of Health Autonomy-Drug Discovery</w:t>
      </w:r>
      <w:r w:rsidR="004F58C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3</w:t>
      </w: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Universitas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Airlangga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Surabaya, 60115, Indonesia</w:t>
      </w:r>
    </w:p>
    <w:p w14:paraId="1940C97C" w14:textId="2A3032B6" w:rsidR="001E7BF2" w:rsidRDefault="001E7BF2" w:rsidP="001E7BF2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Centre of Excellent (PUIPT) Skin and Cosmetic Technology</w:t>
      </w:r>
      <w:r w:rsidR="004F58C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4</w:t>
      </w: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Universitas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Airlangga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Surabaya, 60115, Indonesia</w:t>
      </w:r>
    </w:p>
    <w:p w14:paraId="3CAA0881" w14:textId="52D7A8E3" w:rsidR="0086454F" w:rsidRDefault="0086454F" w:rsidP="001E7BF2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Doctoral Programme of Pharmaceutical Sciences</w:t>
      </w:r>
      <w:r w:rsidR="004F58C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5</w:t>
      </w: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Faculty of Pharmacy, Universitas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Airlangga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Surabaya 60115, Indonesia</w:t>
      </w:r>
    </w:p>
    <w:p w14:paraId="1EE0B8D5" w14:textId="0D568E84" w:rsidR="0086454F" w:rsidRDefault="0086454F" w:rsidP="001E7BF2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Study Program of Pharmacy, Faculty of Pharmacy, Hang </w:t>
      </w:r>
      <w:proofErr w:type="spellStart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Tuah</w:t>
      </w:r>
      <w:proofErr w:type="spellEnd"/>
      <w:r w:rsidRPr="008645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University</w:t>
      </w:r>
      <w:r w:rsidR="004F58C8" w:rsidRPr="004F58C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6</w:t>
      </w:r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A81C30" w:rsidRP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3582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Surabaya 60111</w:t>
      </w:r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Indonesia</w:t>
      </w:r>
    </w:p>
    <w:p w14:paraId="21C8F22D" w14:textId="1AEBCFA5" w:rsidR="00A81C30" w:rsidRDefault="00A81C30" w:rsidP="001E7BF2">
      <w:pPr>
        <w:spacing w:after="0" w:line="240" w:lineRule="auto"/>
        <w:jc w:val="center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Master</w:t>
      </w:r>
      <w:r w:rsidRP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Progr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amme of Pharmaceutical Sciences</w:t>
      </w:r>
      <w:r w:rsidR="004F58C8" w:rsidRPr="004F58C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7</w:t>
      </w:r>
      <w:r w:rsidRP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Faculty of Pharmacy, Universitas </w:t>
      </w:r>
      <w:proofErr w:type="spellStart"/>
      <w:r w:rsidRP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Airlangga</w:t>
      </w:r>
      <w:proofErr w:type="spellEnd"/>
      <w:r w:rsidRP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Surabaya 60115, Indonesia</w:t>
      </w:r>
    </w:p>
    <w:p w14:paraId="2DD37039" w14:textId="2FAA7D3A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632D0AF6" w14:textId="50E1562C" w:rsidR="00316249" w:rsidRPr="00316249" w:rsidRDefault="00B8473A" w:rsidP="00316249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Konjac</w:t>
      </w:r>
      <w:proofErr w:type="spellEnd"/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glucomannan</w:t>
      </w:r>
      <w:proofErr w:type="spellEnd"/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(KGM)</w:t>
      </w:r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 non-ionic polysaccharide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is a</w:t>
      </w:r>
      <w:r w:rsidR="00FB1CDF" w:rsidRPr="00FB1CDF">
        <w:t xml:space="preserve"> 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safe, </w:t>
      </w:r>
      <w:r w:rsidR="00FB1CDF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biodegradable, biocompatible, 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proofErr w:type="spellStart"/>
      <w:r w:rsidR="00FB1CDF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bioadhesive</w:t>
      </w:r>
      <w:proofErr w:type="spellEnd"/>
      <w:r w:rsidR="00FB1CDF" w:rsidRP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polymer</w:t>
      </w:r>
      <w:r w:rsidR="00FB1CDF" w:rsidRP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proofErr w:type="spellStart"/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</w:t>
      </w:r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lycosidic</w:t>
      </w:r>
      <w:proofErr w:type="spellEnd"/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bonds on D-glucose and D-man</w:t>
      </w:r>
      <w:r w:rsidR="00E51DB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nose </w:t>
      </w:r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interact with </w:t>
      </w:r>
      <w:proofErr w:type="spellStart"/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mannan</w:t>
      </w:r>
      <w:proofErr w:type="spellEnd"/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recept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ors on </w:t>
      </w:r>
      <w:r w:rsidR="00E51DB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lung 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macrophages. However, </w:t>
      </w:r>
      <w:r w:rsidR="007808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KGM</w:t>
      </w:r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needs to be depolymerized to reduce its viscosity so it can be processed 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by </w:t>
      </w:r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spray drying and produce 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small </w:t>
      </w:r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sizes. 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hydrolysed </w:t>
      </w:r>
      <w:r w:rsidR="00FB1CD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KGM affected t</w:t>
      </w:r>
      <w:r w:rsidR="00A957D8" w:rsidRPr="00A957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he characteristics of </w:t>
      </w:r>
      <w:r w:rsidR="007808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polymer</w:t>
      </w:r>
      <w:r w:rsidR="0017789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808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 form microspheres</w:t>
      </w:r>
      <w:r w:rsidR="0017789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520A7A19" w14:textId="77777777" w:rsidR="00316249" w:rsidRPr="00316249" w:rsidRDefault="00316249" w:rsidP="00316249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48C0479A" w14:textId="5578B0BA" w:rsidR="00C315D2" w:rsidRPr="00197F3F" w:rsidRDefault="00C315D2" w:rsidP="00197F3F">
      <w:pPr>
        <w:spacing w:after="0" w:line="240" w:lineRule="auto"/>
        <w:jc w:val="both"/>
      </w:pPr>
      <w:proofErr w:type="gramStart"/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proofErr w:type="gramEnd"/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Depolymerization</w:t>
      </w:r>
      <w:proofErr w:type="spellEnd"/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</w:t>
      </w:r>
      <w:r w:rsidR="007808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KGM </w:t>
      </w:r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was carried out using acid hydrolysis combined with sonication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KGM</w:t>
      </w:r>
      <w:r w:rsidR="00A4518D" w:rsidRP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dispersed in ethanol to form a suspension and stirred for 30 minutes at 1000 rpm. Then, 37% HCL was added and sonicated for 60 minutes at 45 kHz. The mixture is washed with 70% ethanol </w:t>
      </w:r>
      <w:r w:rsid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at</w:t>
      </w:r>
      <w:r w:rsidR="00A4518D" w:rsidRP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pH 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6.5-7.</w:t>
      </w:r>
      <w:r w:rsid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0</w:t>
      </w:r>
      <w:r w:rsidR="00A4518D" w:rsidRP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Solution was </w:t>
      </w:r>
      <w:r w:rsidR="00A4518D" w:rsidRP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then stored overnight.</w:t>
      </w:r>
      <w:r w:rsidR="00A4518D" w:rsidRPr="00A4518D">
        <w:t xml:space="preserve"> </w:t>
      </w:r>
      <w:r w:rsidR="00A4518D" w:rsidRP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mixture was vacuum oven dried for 48 hours at 50°C</w:t>
      </w:r>
      <w:r w:rsid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A4518D" w:rsidRP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Hydrolysed </w:t>
      </w:r>
      <w:r w:rsidR="007808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KGM</w:t>
      </w:r>
      <w:r w:rsidR="009C4C0D" w:rsidRPr="009C4C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characterized by F</w:t>
      </w:r>
      <w:r w:rsidR="00A81C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TIR, DSC, yield, pH, viscosity 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9C4C0D" w:rsidRPr="009C4C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molecular weight</w:t>
      </w:r>
      <w:r w:rsidR="00D33E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using</w:t>
      </w:r>
      <w:r w:rsidR="00D33E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33E15" w:rsidRPr="00D33E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Gel </w:t>
      </w:r>
      <w:r w:rsidR="00D33E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</w:t>
      </w:r>
      <w:r w:rsidR="00D33E15" w:rsidRPr="00D33E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ermeation </w:t>
      </w:r>
      <w:r w:rsidR="00D33E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</w:t>
      </w:r>
      <w:r w:rsidR="00D33E15" w:rsidRPr="00D33E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hromatography</w:t>
      </w:r>
      <w:r w:rsidR="00D33E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(GPC)</w:t>
      </w:r>
      <w:r w:rsidR="009C4C0D" w:rsidRPr="003C35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9C4C0D" w:rsidRPr="009C4C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3C35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3C35B1" w:rsidRPr="003C35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ydrolyzed</w:t>
      </w:r>
      <w:proofErr w:type="spellEnd"/>
      <w:r w:rsidR="003C35B1" w:rsidRPr="003C35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808D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KGM</w:t>
      </w:r>
      <w:r w:rsidR="009C4C0D" w:rsidRPr="009C4C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is 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then </w:t>
      </w:r>
      <w:r w:rsidR="009C4C0D" w:rsidRPr="009C4C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used for the production of 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inhalation microspheres </w:t>
      </w:r>
      <w:r w:rsidR="00316249" w:rsidRPr="003162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using spray drying techn</w:t>
      </w:r>
      <w:r w:rsidR="00D2304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ique</w:t>
      </w:r>
      <w:r w:rsidR="00A451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37683296" w14:textId="4348544C" w:rsidR="00C315D2" w:rsidRDefault="00795378" w:rsidP="00C315D2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proofErr w:type="gramStart"/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proofErr w:type="gramEnd"/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7477AC">
        <w:rPr>
          <w:rFonts w:ascii="Calibri" w:eastAsia="Calibri" w:hAnsi="Calibri" w:cs="Times New Roman"/>
          <w:kern w:val="0"/>
          <w:lang w:val="en-GB"/>
          <w14:ligatures w14:val="none"/>
        </w:rPr>
        <w:t xml:space="preserve">Acid hydrolysis produced </w:t>
      </w:r>
      <w:r w:rsidR="00D923DE">
        <w:rPr>
          <w:rFonts w:ascii="Calibri" w:eastAsia="Calibri" w:hAnsi="Calibri" w:cs="Times New Roman"/>
          <w:kern w:val="0"/>
          <w:lang w:val="en-GB"/>
          <w14:ligatures w14:val="none"/>
        </w:rPr>
        <w:t xml:space="preserve">the </w:t>
      </w:r>
      <w:r w:rsidR="00E51DBD">
        <w:rPr>
          <w:rFonts w:ascii="Calibri" w:eastAsia="Calibri" w:hAnsi="Calibri" w:cs="Times New Roman"/>
          <w:kern w:val="0"/>
          <w:lang w:val="en-GB"/>
          <w14:ligatures w14:val="none"/>
        </w:rPr>
        <w:t xml:space="preserve">hydrolysed KGM </w:t>
      </w:r>
      <w:r w:rsidR="007808D1">
        <w:rPr>
          <w:rFonts w:ascii="Calibri" w:eastAsia="Calibri" w:hAnsi="Calibri" w:cs="Times New Roman"/>
          <w:kern w:val="0"/>
          <w:lang w:val="en-GB"/>
          <w14:ligatures w14:val="none"/>
        </w:rPr>
        <w:t>with</w:t>
      </w:r>
      <w:r w:rsidR="00D923DE">
        <w:rPr>
          <w:rFonts w:ascii="Calibri" w:eastAsia="Calibri" w:hAnsi="Calibri" w:cs="Times New Roman"/>
          <w:kern w:val="0"/>
          <w:lang w:val="en-GB"/>
          <w14:ligatures w14:val="none"/>
        </w:rPr>
        <w:t xml:space="preserve"> high y</w:t>
      </w:r>
      <w:r w:rsid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ield</w:t>
      </w:r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D2304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of </w:t>
      </w:r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78.91±5.94%. </w:t>
      </w:r>
      <w:r w:rsidR="00E51DBD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</w:t>
      </w:r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he viscosity of </w:t>
      </w:r>
      <w:proofErr w:type="spellStart"/>
      <w:r w:rsidR="00D23044" w:rsidRP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hydrolyzed</w:t>
      </w:r>
      <w:proofErr w:type="spellEnd"/>
      <w:r w:rsidR="00D23044" w:rsidRP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D2304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KGM </w:t>
      </w:r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decreased from </w:t>
      </w:r>
      <w:bookmarkStart w:id="1" w:name="_Hlk204841662"/>
      <w:r w:rsidR="00D2304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24</w:t>
      </w:r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780±60.00</w:t>
      </w:r>
      <w:r w:rsidR="00D2304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="00D2304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mP</w:t>
      </w:r>
      <w:r w:rsid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as</w:t>
      </w:r>
      <w:proofErr w:type="spellEnd"/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to 60.83±1.55</w:t>
      </w:r>
      <w:r w:rsidR="00D2304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="00D2304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mP</w:t>
      </w:r>
      <w:r w:rsid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as</w:t>
      </w:r>
      <w:bookmarkEnd w:id="1"/>
      <w:proofErr w:type="spellEnd"/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, </w:t>
      </w:r>
      <w:r w:rsidR="00E51DBD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and </w:t>
      </w:r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the pH</w:t>
      </w:r>
      <w:r w:rsidR="00E51DBD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range </w:t>
      </w:r>
      <w:r w:rsidR="00D2304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was </w:t>
      </w:r>
      <w:r w:rsidR="00D923DE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6.</w:t>
      </w:r>
      <w:r w:rsidR="00E51DBD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59 to 6.77</w:t>
      </w:r>
      <w:r w:rsidR="00567894" w:rsidRPr="0056789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</w:t>
      </w:r>
      <w:r w:rsid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3C35B1" w:rsidRP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The molecular weight of</w:t>
      </w:r>
      <w:r w:rsidR="00C76D5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7808D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KGM</w:t>
      </w:r>
      <w:r w:rsidR="00E51DBD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and hydrolysed were </w:t>
      </w:r>
      <w:bookmarkStart w:id="2" w:name="_Hlk204841616"/>
      <w:r w:rsidR="003C35B1" w:rsidRP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4750 </w:t>
      </w:r>
      <w:proofErr w:type="spellStart"/>
      <w:r w:rsidR="003C35B1" w:rsidRP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kDa</w:t>
      </w:r>
      <w:bookmarkStart w:id="3" w:name="_Hlk204841632"/>
      <w:bookmarkEnd w:id="2"/>
      <w:proofErr w:type="spellEnd"/>
      <w:r w:rsidR="00E51DBD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and </w:t>
      </w:r>
      <w:r w:rsidR="00C421D9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1970</w:t>
      </w:r>
      <w:r w:rsidR="003C35B1" w:rsidRP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="003C35B1" w:rsidRP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kDa</w:t>
      </w:r>
      <w:bookmarkEnd w:id="3"/>
      <w:proofErr w:type="spellEnd"/>
      <w:r w:rsidR="00E51DBD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respectively</w:t>
      </w:r>
      <w:r w:rsidR="003C35B1" w:rsidRPr="003C35B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</w:t>
      </w:r>
    </w:p>
    <w:p w14:paraId="01BED6A7" w14:textId="77777777" w:rsidR="003C35B1" w:rsidRDefault="003C35B1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35848A66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proofErr w:type="gramStart"/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proofErr w:type="gramEnd"/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C421D9" w:rsidRPr="00C421D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Depolymerization</w:t>
      </w:r>
      <w:proofErr w:type="spellEnd"/>
      <w:r w:rsidR="00C421D9" w:rsidRPr="00C421D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of </w:t>
      </w:r>
      <w:r w:rsidR="007808D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KGM</w:t>
      </w:r>
      <w:r w:rsidR="00C421D9" w:rsidRPr="00C421D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has been successfully carried out using acid hydro</w:t>
      </w:r>
      <w:r w:rsidR="00D2304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lysis combined with sonication produced high yield of hydrolyzed KGM. The lower </w:t>
      </w:r>
      <w:r w:rsidR="00C421D9" w:rsidRPr="00C421D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molecular weight </w:t>
      </w:r>
      <w:r w:rsidR="00D2304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was </w:t>
      </w:r>
      <w:r w:rsidR="00C421D9" w:rsidRPr="00C421D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decreas</w:t>
      </w:r>
      <w:r w:rsidR="00C421D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ed</w:t>
      </w:r>
      <w:r w:rsidR="00C421D9" w:rsidRPr="00C421D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</w:t>
      </w:r>
      <w:r w:rsidR="00D2304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 decreased </w:t>
      </w:r>
      <w:r w:rsidR="00C421D9" w:rsidRPr="00C421D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viscosity </w:t>
      </w:r>
      <w:r w:rsidR="00D2304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was observed indicated potential use for polymer of microspheres and can be </w:t>
      </w:r>
      <w:r w:rsidR="00D923D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further developed </w:t>
      </w:r>
      <w:r w:rsidR="00D2304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to encapsulate </w:t>
      </w:r>
      <w:r w:rsidR="00D923D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drug</w:t>
      </w:r>
      <w:r w:rsidR="00D2304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by spray drying.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59B1B3F6" w14:textId="5C49136D" w:rsidR="00FB1CDF" w:rsidRDefault="00FB1CDF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Acknowledgment</w:t>
      </w:r>
    </w:p>
    <w:p w14:paraId="7A7B2D49" w14:textId="0848042A" w:rsidR="00FB1CDF" w:rsidRDefault="007477AC" w:rsidP="00C315D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007477AC">
        <w:rPr>
          <w:rFonts w:ascii="Arial" w:eastAsia="Calibri" w:hAnsi="Arial" w:cs="Calibri"/>
          <w:kern w:val="0"/>
          <w:sz w:val="20"/>
          <w:szCs w:val="20"/>
          <w14:ligatures w14:val="none"/>
        </w:rPr>
        <w:t>The authors would like to thank Directorate General of Higher Education, Research and Technology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Pr="007477A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for the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Fundamental Research Grant (PFR) scheme 2025</w:t>
      </w:r>
      <w:r w:rsidRPr="007477AC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(Contract Number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2313</w:t>
      </w:r>
      <w:r w:rsidRPr="007477AC">
        <w:rPr>
          <w:rFonts w:ascii="Arial" w:eastAsia="Calibri" w:hAnsi="Arial" w:cs="Calibri"/>
          <w:kern w:val="0"/>
          <w:sz w:val="20"/>
          <w:szCs w:val="20"/>
          <w14:ligatures w14:val="none"/>
        </w:rPr>
        <w:t>/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B/</w:t>
      </w:r>
      <w:r w:rsidRPr="007477AC">
        <w:rPr>
          <w:rFonts w:ascii="Arial" w:eastAsia="Calibri" w:hAnsi="Arial" w:cs="Calibri"/>
          <w:kern w:val="0"/>
          <w:sz w:val="20"/>
          <w:szCs w:val="20"/>
          <w14:ligatures w14:val="none"/>
        </w:rPr>
        <w:t>UN3.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LPPM</w:t>
      </w:r>
      <w:r w:rsidRPr="007477AC">
        <w:rPr>
          <w:rFonts w:ascii="Arial" w:eastAsia="Calibri" w:hAnsi="Arial" w:cs="Calibri"/>
          <w:kern w:val="0"/>
          <w:sz w:val="20"/>
          <w:szCs w:val="20"/>
          <w14:ligatures w14:val="none"/>
        </w:rPr>
        <w:t>/PT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.01.03/2025</w:t>
      </w:r>
      <w:r w:rsidRPr="007477AC">
        <w:rPr>
          <w:rFonts w:ascii="Arial" w:eastAsia="Calibri" w:hAnsi="Arial" w:cs="Calibri"/>
          <w:kern w:val="0"/>
          <w:sz w:val="20"/>
          <w:szCs w:val="20"/>
          <w14:ligatures w14:val="none"/>
        </w:rPr>
        <w:t>)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, Universitas </w:t>
      </w:r>
      <w:proofErr w:type="spellStart"/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Airlangga</w:t>
      </w:r>
      <w:proofErr w:type="spellEnd"/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and </w:t>
      </w:r>
      <w:r w:rsidRPr="007477AC">
        <w:rPr>
          <w:rFonts w:ascii="Arial" w:eastAsia="Calibri" w:hAnsi="Arial" w:cs="Calibri"/>
          <w:kern w:val="0"/>
          <w:sz w:val="20"/>
          <w:szCs w:val="20"/>
          <w14:ligatures w14:val="none"/>
        </w:rPr>
        <w:t>the Faculty of Pharmacy for the facilities.</w:t>
      </w:r>
    </w:p>
    <w:p w14:paraId="1E75BF73" w14:textId="77777777" w:rsidR="00FB1CDF" w:rsidRPr="00FB1CDF" w:rsidRDefault="00FB1CDF" w:rsidP="00C315D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</w:p>
    <w:p w14:paraId="2C801966" w14:textId="1151C51A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68BA4561" w14:textId="2A31ECC6" w:rsidR="003473C2" w:rsidRDefault="00C315D2" w:rsidP="003473C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proofErr w:type="spellStart"/>
      <w:r w:rsidR="000C18A0" w:rsidRPr="000C18A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Guerreiro</w:t>
      </w:r>
      <w:proofErr w:type="spellEnd"/>
      <w:r w:rsidR="000C18A0" w:rsidRPr="000C18A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F.</w:t>
      </w:r>
      <w:r w:rsidR="00AD5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et al. </w:t>
      </w:r>
      <w:r w:rsidR="00D923D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(2023</w:t>
      </w:r>
      <w:r w:rsidR="000C18A0" w:rsidRPr="000C18A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). International Journal of</w:t>
      </w:r>
      <w:r w:rsidR="00AD5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Biological Macromolecules, 248: 125838</w:t>
      </w:r>
      <w:r w:rsidR="000C18A0" w:rsidRPr="000C18A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5959AD16" w14:textId="32114888" w:rsidR="000D7683" w:rsidRPr="009B1CBB" w:rsidRDefault="00D923DE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</w:t>
      </w:r>
      <w:r w:rsidR="00EF7F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proofErr w:type="spellStart"/>
      <w:r w:rsidR="00AD5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Hariyadi</w:t>
      </w:r>
      <w:proofErr w:type="spellEnd"/>
      <w:r w:rsidR="00AD5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D.</w:t>
      </w:r>
      <w:r w:rsidR="00EF7F67" w:rsidRPr="00EF7F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M.</w:t>
      </w:r>
      <w:r w:rsidR="00AD5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et al. </w:t>
      </w:r>
      <w:r w:rsidR="00EF7F67" w:rsidRPr="00EF7F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(2019). International Journal of </w:t>
      </w:r>
      <w:proofErr w:type="spellStart"/>
      <w:r w:rsidR="00EF7F67" w:rsidRPr="00EF7F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Pharma</w:t>
      </w:r>
      <w:proofErr w:type="spellEnd"/>
      <w:r w:rsidR="00EF7F67" w:rsidRPr="00EF7F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Res</w:t>
      </w:r>
      <w:r w:rsidR="00AD5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earch and Health Sciences, 7(4):</w:t>
      </w:r>
      <w:r w:rsidR="00EF7F67" w:rsidRPr="00EF7F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3020–3027</w:t>
      </w:r>
      <w:r w:rsidR="00EF7F6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sectPr w:rsidR="000D7683" w:rsidRPr="009B1CBB" w:rsidSect="00FB1CDF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D2"/>
    <w:rsid w:val="0000410E"/>
    <w:rsid w:val="000C18A0"/>
    <w:rsid w:val="000D7683"/>
    <w:rsid w:val="00107368"/>
    <w:rsid w:val="00113BB7"/>
    <w:rsid w:val="00177892"/>
    <w:rsid w:val="00197F3F"/>
    <w:rsid w:val="001E7BF2"/>
    <w:rsid w:val="002017E6"/>
    <w:rsid w:val="00294059"/>
    <w:rsid w:val="00316249"/>
    <w:rsid w:val="003206E4"/>
    <w:rsid w:val="003473C2"/>
    <w:rsid w:val="003A6D5C"/>
    <w:rsid w:val="003C35B1"/>
    <w:rsid w:val="00481622"/>
    <w:rsid w:val="004A51B6"/>
    <w:rsid w:val="004F58C8"/>
    <w:rsid w:val="00510CF8"/>
    <w:rsid w:val="00533F01"/>
    <w:rsid w:val="00567894"/>
    <w:rsid w:val="00575A29"/>
    <w:rsid w:val="00601754"/>
    <w:rsid w:val="0066522C"/>
    <w:rsid w:val="006A34BE"/>
    <w:rsid w:val="006F3F1C"/>
    <w:rsid w:val="007141F2"/>
    <w:rsid w:val="007477AC"/>
    <w:rsid w:val="007561D8"/>
    <w:rsid w:val="007808D1"/>
    <w:rsid w:val="00795378"/>
    <w:rsid w:val="00796206"/>
    <w:rsid w:val="007C367E"/>
    <w:rsid w:val="008071C5"/>
    <w:rsid w:val="0086454F"/>
    <w:rsid w:val="00906D34"/>
    <w:rsid w:val="00933DC9"/>
    <w:rsid w:val="00936D4C"/>
    <w:rsid w:val="009523F9"/>
    <w:rsid w:val="009650DF"/>
    <w:rsid w:val="009B1CBB"/>
    <w:rsid w:val="009C4C0D"/>
    <w:rsid w:val="00A0516D"/>
    <w:rsid w:val="00A316D2"/>
    <w:rsid w:val="00A4518D"/>
    <w:rsid w:val="00A81C30"/>
    <w:rsid w:val="00A957D8"/>
    <w:rsid w:val="00AD55D2"/>
    <w:rsid w:val="00B4721D"/>
    <w:rsid w:val="00B60DDE"/>
    <w:rsid w:val="00B8473A"/>
    <w:rsid w:val="00C21815"/>
    <w:rsid w:val="00C315D2"/>
    <w:rsid w:val="00C353D8"/>
    <w:rsid w:val="00C421D9"/>
    <w:rsid w:val="00C76D5B"/>
    <w:rsid w:val="00C84EC3"/>
    <w:rsid w:val="00CF5A91"/>
    <w:rsid w:val="00D02BB1"/>
    <w:rsid w:val="00D23044"/>
    <w:rsid w:val="00D33E15"/>
    <w:rsid w:val="00D3582E"/>
    <w:rsid w:val="00D45A74"/>
    <w:rsid w:val="00D7428F"/>
    <w:rsid w:val="00D923DE"/>
    <w:rsid w:val="00E51DBD"/>
    <w:rsid w:val="00EC3746"/>
    <w:rsid w:val="00EF7F67"/>
    <w:rsid w:val="00F539FB"/>
    <w:rsid w:val="00F85528"/>
    <w:rsid w:val="00FB1CDF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8A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18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8A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Phan</dc:creator>
  <cp:lastModifiedBy>user</cp:lastModifiedBy>
  <cp:revision>15</cp:revision>
  <dcterms:created xsi:type="dcterms:W3CDTF">2025-07-31T03:06:00Z</dcterms:created>
  <dcterms:modified xsi:type="dcterms:W3CDTF">2025-07-31T11:05:00Z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