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6F1B9" w14:textId="2D4EF285" w:rsidR="00C315D2" w:rsidRPr="00C315D2" w:rsidRDefault="00FF21A0" w:rsidP="5E2C5F31">
      <w:pPr>
        <w:spacing w:after="0" w:line="240" w:lineRule="auto"/>
        <w:rPr>
          <w:rFonts w:ascii="Arial" w:eastAsia="Calibri" w:hAnsi="Arial" w:cs="Calibri"/>
          <w:b/>
          <w:bCs/>
          <w:kern w:val="0"/>
          <w:lang w:val="en-US"/>
          <w14:ligatures w14:val="none"/>
        </w:rPr>
      </w:pPr>
      <w:r w:rsidRPr="00FF21A0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Physics Informed One-stop AI </w:t>
      </w:r>
      <w:proofErr w:type="spellStart"/>
      <w:r w:rsidRPr="00FF21A0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Preformulation</w:t>
      </w:r>
      <w:proofErr w:type="spellEnd"/>
      <w:r w:rsidRPr="00FF21A0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 Prediction Platform</w:t>
      </w:r>
    </w:p>
    <w:p w14:paraId="79141BD9" w14:textId="08822849" w:rsidR="00C315D2" w:rsidRPr="00C315D2" w:rsidRDefault="00FF21A0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Nannan Wang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:u w:val="single"/>
          <w:vertAlign w:val="superscript"/>
          <w14:ligatures w14:val="none"/>
        </w:rPr>
        <w:t>1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Defang Ouyang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1,2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. </w:t>
      </w:r>
    </w:p>
    <w:p w14:paraId="137D4547" w14:textId="588FC713" w:rsidR="00C315D2" w:rsidRPr="00C315D2" w:rsidRDefault="00FF21A0" w:rsidP="4FE71DF4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State Key Laboratory of Quality Research in Chinese Medicine, Institute of Chinese Medical Sciences (ICMS), University of Macau, Macau, China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</w:p>
    <w:p w14:paraId="47D76891" w14:textId="6496C700" w:rsidR="00C315D2" w:rsidRPr="00C315D2" w:rsidRDefault="00FF21A0" w:rsidP="4FE71DF4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Department of Public Health and Medicinal Administration, Faculty of Health Sciences (FHS), University of Macau, Macau, China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2</w:t>
      </w:r>
    </w:p>
    <w:p w14:paraId="2DD37039" w14:textId="77777777" w:rsidR="00C315D2" w:rsidRPr="00C315D2" w:rsidRDefault="00C315D2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Cs/>
          <w:i/>
          <w:kern w:val="0"/>
          <w:sz w:val="20"/>
          <w:szCs w:val="20"/>
          <w:lang w:val="en-US"/>
          <w14:ligatures w14:val="none"/>
        </w:rPr>
        <w:t xml:space="preserve"> </w:t>
      </w:r>
    </w:p>
    <w:p w14:paraId="15D93483" w14:textId="563C6534" w:rsidR="00C315D2" w:rsidRDefault="00B8473A" w:rsidP="00FF21A0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The surge of AI-driven drug discovery has flooded development pipelines with hit compounds. However, these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increasingly complex molecules face significant developability challenges and formulation design demands. High-throughput and one-stop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investigation tools are urgently needed to reduce development attrition. Although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some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properties have been mentioned in molecular machine learning, existing studies are limited by data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quality, chemical space coverage, and often overlook drug solid-state characteristics and pharmaceutics-specific issues.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Against the mentioned backdrop, this study aims to develop a physics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informed one-stop AI platform for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preformulation</w:t>
      </w:r>
      <w:proofErr w:type="spellEnd"/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prediction and developability investigation</w:t>
      </w:r>
      <w:r w:rsidR="00345E0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(Figure 1)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.</w:t>
      </w:r>
    </w:p>
    <w:p w14:paraId="26FCA73F" w14:textId="77777777" w:rsidR="00FF21A0" w:rsidRPr="00C315D2" w:rsidRDefault="00FF21A0" w:rsidP="00FF21A0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48C0479A" w14:textId="6C7C72D1" w:rsidR="00C315D2" w:rsidRPr="00C315D2" w:rsidRDefault="00C315D2" w:rsidP="00FF21A0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To begin with, a standardized data management program was created to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harmonize multi-source datasets and ensure high data quality. The generative transformer-based algorithm, Tabular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Prior-data Fitted Network (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TabPFN</w:t>
      </w:r>
      <w:proofErr w:type="spellEnd"/>
      <w:proofErr w:type="gram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)[</w:t>
      </w:r>
      <w:proofErr w:type="gram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1], was employed to construct robust and interpretable models. Crystal density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prediction was incorporated to capture the impact of crystal structures on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properties. Physics informed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hierarchical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modeling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task-specific ensemble learning, and tailored data management strategies were implemented to</w:t>
      </w:r>
      <w:r w:rsid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enhance model performance, interpretability, and robustness.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1387B9C3" w14:textId="77777777" w:rsidR="00C315D2" w:rsidRPr="00C315D2" w:rsidRDefault="00C315D2" w:rsidP="00C315D2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lang w:val="en-GB"/>
          <w14:ligatures w14:val="none"/>
        </w:rPr>
      </w:pPr>
    </w:p>
    <w:p w14:paraId="31219677" w14:textId="36F95109" w:rsidR="00FF21A0" w:rsidRPr="00FF21A0" w:rsidRDefault="00795378" w:rsidP="00FF21A0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C315D2" w:rsidRPr="00C315D2">
        <w:rPr>
          <w:rFonts w:ascii="Calibri" w:eastAsia="Calibri" w:hAnsi="Calibri" w:cs="Times New Roman"/>
          <w:kern w:val="0"/>
          <w:lang w:val="en-GB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First, 12 high-quality </w:t>
      </w:r>
      <w:proofErr w:type="spellStart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datasets were collected (Table 1). To adapt to pharmaceutical scenarios, the</w:t>
      </w:r>
      <w:r w:rsid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solubility datasets covered thermodynamic equilibrium solubility, kinetic solubility, and solubility in organic solvent and</w:t>
      </w:r>
      <w:r w:rsid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mixed solvents. Leveraging these datasets and tailored training strategies, 12 robust </w:t>
      </w:r>
      <w:proofErr w:type="spellStart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TabPFN</w:t>
      </w:r>
      <w:proofErr w:type="spellEnd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models were developed,</w:t>
      </w:r>
      <w:r w:rsid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achieving state-of-the-art performance. Crystal density, linked to lattice energy, was incorporated into the prediction of</w:t>
      </w:r>
      <w:r w:rsid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solid-state-related properties, such as equilibrium solubility, enabling </w:t>
      </w:r>
      <w:proofErr w:type="spellStart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assessment across different crystal</w:t>
      </w:r>
    </w:p>
    <w:p w14:paraId="58EE2702" w14:textId="4D53B3C4" w:rsidR="00C315D2" w:rsidRPr="00C315D2" w:rsidRDefault="00FF21A0" w:rsidP="00FF21A0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structures. Subsequently, empirical physics formulas were employed to provide semi-quantitative evaluations of hard-to-obtain key properties, such as intrinsic solubility. Furthermore, an interpretable partial supervised learning model was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further refined to conduct developability </w:t>
      </w:r>
      <w:proofErr w:type="gramStart"/>
      <w:r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assessment[</w:t>
      </w:r>
      <w:proofErr w:type="gramEnd"/>
      <w:r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2]. Finally, a user-friendly web platform will be created for batch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FF21A0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prediction and generating interpretable formulation descriptors (IF-Des) to benefit the AI drug development community.</w:t>
      </w:r>
    </w:p>
    <w:p w14:paraId="37683296" w14:textId="77777777" w:rsid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65E846CD" w14:textId="2D46D1A5" w:rsidR="00C315D2" w:rsidRDefault="00B8473A" w:rsidP="00FF21A0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The first physics informed AI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prediction platform was established. It pioneeringly incorporates physical</w:t>
      </w:r>
      <w:r w:rsid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pharmaceutics information to enable one-stop </w:t>
      </w:r>
      <w:proofErr w:type="spellStart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preformulation</w:t>
      </w:r>
      <w:proofErr w:type="spellEnd"/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exploration. As a vital part of AI drug development, it</w:t>
      </w:r>
      <w:r w:rsid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helps identify developability challenge, guide leads optimization, optimize formulation design, ultimately enhancing R&amp;D</w:t>
      </w:r>
      <w:r w:rsid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FF21A0" w:rsidRPr="00FF21A0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efficiency and drug quality.</w:t>
      </w:r>
    </w:p>
    <w:p w14:paraId="061B5A40" w14:textId="77777777" w:rsidR="00781D4A" w:rsidRDefault="00781D4A" w:rsidP="00FF21A0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</w:p>
    <w:p w14:paraId="26C4C1FD" w14:textId="4B95920E" w:rsidR="00781D4A" w:rsidRDefault="00781D4A" w:rsidP="00781D4A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 w:eastAsia="zh-CN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Acknowledgements</w:t>
      </w: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Pr="00781D4A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This work was financially supported by the Macau Science and Technology Development Fund (0071/2024/RIA1).</w:t>
      </w:r>
    </w:p>
    <w:p w14:paraId="1AF10CAD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2C801966" w14:textId="4410F00A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References: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6ED28608" w14:textId="77777777" w:rsidR="00781D4A" w:rsidRPr="00781D4A" w:rsidRDefault="00781D4A" w:rsidP="00781D4A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781D4A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[1] Hollmann, Noah, et al, Nature 637.8045 (2025): 319-326.</w:t>
      </w:r>
    </w:p>
    <w:p w14:paraId="7D6E388F" w14:textId="3B8F1532" w:rsidR="00660438" w:rsidRDefault="00781D4A" w:rsidP="00781D4A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781D4A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[2] Wang, Nannan, et al, Journal of Controlled Release 378 (2025): 619-636.</w:t>
      </w:r>
    </w:p>
    <w:p w14:paraId="7B2CE5E5" w14:textId="77777777" w:rsidR="00660438" w:rsidRDefault="00660438">
      <w:pP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br w:type="page"/>
      </w:r>
    </w:p>
    <w:p w14:paraId="75FDCF73" w14:textId="77777777" w:rsidR="00660438" w:rsidRDefault="00660438" w:rsidP="00660438">
      <w:pPr>
        <w:keepNext/>
        <w:spacing w:after="0" w:line="240" w:lineRule="auto"/>
        <w:jc w:val="center"/>
      </w:pPr>
      <w:r>
        <w:rPr>
          <w:rFonts w:ascii="Arial" w:eastAsia="Calibri" w:hAnsi="Arial" w:cs="Calibri"/>
          <w:bCs/>
          <w:noProof/>
          <w:kern w:val="0"/>
          <w:sz w:val="20"/>
          <w:szCs w:val="20"/>
          <w:lang w:val="en-US"/>
        </w:rPr>
        <w:lastRenderedPageBreak/>
        <w:drawing>
          <wp:inline distT="0" distB="0" distL="0" distR="0" wp14:anchorId="5F68DCC9" wp14:editId="15053333">
            <wp:extent cx="4908966" cy="3870688"/>
            <wp:effectExtent l="0" t="0" r="0" b="3175"/>
            <wp:docPr id="1662747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4751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966" cy="38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F4CD" w14:textId="6A2944DC" w:rsidR="00113BB7" w:rsidRPr="00660438" w:rsidRDefault="00660438" w:rsidP="00660438">
      <w:pPr>
        <w:pStyle w:val="ae"/>
        <w:jc w:val="center"/>
        <w:rPr>
          <w:rFonts w:ascii="Arial" w:hAnsi="Arial" w:cs="Arial"/>
        </w:rPr>
      </w:pPr>
      <w:r w:rsidRPr="00660438">
        <w:rPr>
          <w:rFonts w:ascii="Arial" w:hAnsi="Arial" w:cs="Arial"/>
        </w:rPr>
        <w:t xml:space="preserve">Figure </w:t>
      </w:r>
      <w:r w:rsidRPr="00660438">
        <w:rPr>
          <w:rFonts w:ascii="Arial" w:hAnsi="Arial" w:cs="Arial"/>
        </w:rPr>
        <w:fldChar w:fldCharType="begin"/>
      </w:r>
      <w:r w:rsidRPr="00660438">
        <w:rPr>
          <w:rFonts w:ascii="Arial" w:hAnsi="Arial" w:cs="Arial"/>
        </w:rPr>
        <w:instrText xml:space="preserve"> SEQ Figure \* ARABIC </w:instrText>
      </w:r>
      <w:r w:rsidRPr="00660438">
        <w:rPr>
          <w:rFonts w:ascii="Arial" w:hAnsi="Arial" w:cs="Arial"/>
        </w:rPr>
        <w:fldChar w:fldCharType="separate"/>
      </w:r>
      <w:r w:rsidRPr="00660438">
        <w:rPr>
          <w:rFonts w:ascii="Arial" w:hAnsi="Arial" w:cs="Arial"/>
          <w:noProof/>
        </w:rPr>
        <w:t>1</w:t>
      </w:r>
      <w:r w:rsidRPr="00660438">
        <w:rPr>
          <w:rFonts w:ascii="Arial" w:hAnsi="Arial" w:cs="Arial"/>
        </w:rPr>
        <w:fldChar w:fldCharType="end"/>
      </w:r>
      <w:r w:rsidRPr="00660438">
        <w:rPr>
          <w:rFonts w:ascii="Arial" w:hAnsi="Arial" w:cs="Arial"/>
        </w:rPr>
        <w:t xml:space="preserve"> Graphical Abstract</w:t>
      </w:r>
    </w:p>
    <w:p w14:paraId="78856921" w14:textId="77777777" w:rsidR="00660438" w:rsidRDefault="00660438" w:rsidP="00660438"/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660438" w:rsidRPr="00660438" w14:paraId="4066503C" w14:textId="77777777" w:rsidTr="006634DA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57B68" w14:textId="2C57AF9D" w:rsidR="00660438" w:rsidRPr="00DE08B6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08B6">
              <w:rPr>
                <w:rFonts w:ascii="Arial" w:hAnsi="Arial" w:cs="Arial"/>
                <w:b/>
                <w:bCs/>
                <w:sz w:val="20"/>
                <w:szCs w:val="20"/>
              </w:rPr>
              <w:t>Datasets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BF6C2" w14:textId="224D7724" w:rsidR="00660438" w:rsidRPr="00DE08B6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08B6">
              <w:rPr>
                <w:rFonts w:ascii="Arial" w:hAnsi="Arial" w:cs="Arial"/>
                <w:b/>
                <w:bCs/>
                <w:sz w:val="20"/>
                <w:szCs w:val="20"/>
              </w:rPr>
              <w:t>Date volume</w:t>
            </w:r>
          </w:p>
        </w:tc>
      </w:tr>
      <w:tr w:rsidR="00660438" w:rsidRPr="00660438" w14:paraId="138BB734" w14:textId="77777777" w:rsidTr="006634DA">
        <w:tc>
          <w:tcPr>
            <w:tcW w:w="7508" w:type="dxa"/>
            <w:tcBorders>
              <w:top w:val="single" w:sz="4" w:space="0" w:color="auto"/>
            </w:tcBorders>
            <w:vAlign w:val="center"/>
          </w:tcPr>
          <w:p w14:paraId="3020ECE2" w14:textId="449AE83D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Thermodynamics equilibrium solubility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7A2C60D5" w14:textId="22C6F1C7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15354</w:t>
            </w:r>
          </w:p>
        </w:tc>
      </w:tr>
      <w:tr w:rsidR="00660438" w:rsidRPr="00660438" w14:paraId="23F4D066" w14:textId="77777777" w:rsidTr="006634DA">
        <w:tc>
          <w:tcPr>
            <w:tcW w:w="7508" w:type="dxa"/>
            <w:vAlign w:val="center"/>
          </w:tcPr>
          <w:p w14:paraId="7200080D" w14:textId="1F336405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Kinetic solubility</w:t>
            </w:r>
          </w:p>
        </w:tc>
        <w:tc>
          <w:tcPr>
            <w:tcW w:w="1508" w:type="dxa"/>
            <w:vAlign w:val="center"/>
          </w:tcPr>
          <w:p w14:paraId="0641C37A" w14:textId="0979F638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52161</w:t>
            </w:r>
          </w:p>
        </w:tc>
      </w:tr>
      <w:tr w:rsidR="00660438" w:rsidRPr="00660438" w14:paraId="333EB319" w14:textId="77777777" w:rsidTr="006634DA">
        <w:tc>
          <w:tcPr>
            <w:tcW w:w="7508" w:type="dxa"/>
            <w:vAlign w:val="center"/>
          </w:tcPr>
          <w:p w14:paraId="01EBB1EC" w14:textId="78803446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Organic solvent solubility</w:t>
            </w:r>
          </w:p>
        </w:tc>
        <w:tc>
          <w:tcPr>
            <w:tcW w:w="1508" w:type="dxa"/>
            <w:vAlign w:val="center"/>
          </w:tcPr>
          <w:p w14:paraId="4A156E8B" w14:textId="32D36E87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5031</w:t>
            </w:r>
          </w:p>
        </w:tc>
      </w:tr>
      <w:tr w:rsidR="00660438" w:rsidRPr="00660438" w14:paraId="09D655A9" w14:textId="77777777" w:rsidTr="006634DA">
        <w:tc>
          <w:tcPr>
            <w:tcW w:w="7508" w:type="dxa"/>
            <w:vAlign w:val="center"/>
          </w:tcPr>
          <w:p w14:paraId="0769A672" w14:textId="1E38B0F0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Mixed solvents solubility</w:t>
            </w:r>
          </w:p>
        </w:tc>
        <w:tc>
          <w:tcPr>
            <w:tcW w:w="1508" w:type="dxa"/>
            <w:vAlign w:val="center"/>
          </w:tcPr>
          <w:p w14:paraId="7B230727" w14:textId="261C0B33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28101</w:t>
            </w:r>
          </w:p>
        </w:tc>
      </w:tr>
      <w:tr w:rsidR="00660438" w:rsidRPr="00660438" w14:paraId="04BF0F81" w14:textId="77777777" w:rsidTr="006634DA">
        <w:tc>
          <w:tcPr>
            <w:tcW w:w="7508" w:type="dxa"/>
            <w:vAlign w:val="center"/>
          </w:tcPr>
          <w:p w14:paraId="7EA0FCD9" w14:textId="3B001555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Crystal density</w:t>
            </w:r>
          </w:p>
        </w:tc>
        <w:tc>
          <w:tcPr>
            <w:tcW w:w="1508" w:type="dxa"/>
            <w:vAlign w:val="center"/>
          </w:tcPr>
          <w:p w14:paraId="0111037A" w14:textId="32C51331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171891</w:t>
            </w:r>
          </w:p>
        </w:tc>
      </w:tr>
      <w:tr w:rsidR="00660438" w:rsidRPr="00660438" w14:paraId="33573ECE" w14:textId="77777777" w:rsidTr="006634DA">
        <w:tc>
          <w:tcPr>
            <w:tcW w:w="7508" w:type="dxa"/>
            <w:vAlign w:val="center"/>
          </w:tcPr>
          <w:p w14:paraId="30C27379" w14:textId="2053000D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Melting point</w:t>
            </w:r>
          </w:p>
        </w:tc>
        <w:tc>
          <w:tcPr>
            <w:tcW w:w="1508" w:type="dxa"/>
            <w:vAlign w:val="center"/>
          </w:tcPr>
          <w:p w14:paraId="2ED4C35B" w14:textId="4561AA95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273297</w:t>
            </w:r>
          </w:p>
        </w:tc>
      </w:tr>
      <w:tr w:rsidR="00660438" w:rsidRPr="00660438" w14:paraId="1E955E04" w14:textId="77777777" w:rsidTr="006634DA">
        <w:tc>
          <w:tcPr>
            <w:tcW w:w="7508" w:type="dxa"/>
            <w:vAlign w:val="center"/>
          </w:tcPr>
          <w:p w14:paraId="351144A2" w14:textId="6DAAD4D6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Glass transition temperature</w:t>
            </w:r>
          </w:p>
        </w:tc>
        <w:tc>
          <w:tcPr>
            <w:tcW w:w="1508" w:type="dxa"/>
            <w:vAlign w:val="center"/>
          </w:tcPr>
          <w:p w14:paraId="7282CA3C" w14:textId="285364FA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</w:tr>
      <w:tr w:rsidR="00660438" w:rsidRPr="00660438" w14:paraId="1C58E2C7" w14:textId="77777777" w:rsidTr="006634DA">
        <w:tc>
          <w:tcPr>
            <w:tcW w:w="7508" w:type="dxa"/>
            <w:vAlign w:val="center"/>
          </w:tcPr>
          <w:p w14:paraId="2850C72D" w14:textId="68854FAE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Acidic dissociation constant (</w:t>
            </w:r>
            <w:proofErr w:type="spellStart"/>
            <w:r w:rsidRPr="00660438">
              <w:rPr>
                <w:rFonts w:ascii="Arial" w:hAnsi="Arial" w:cs="Arial"/>
                <w:sz w:val="20"/>
                <w:szCs w:val="20"/>
              </w:rPr>
              <w:t>pK</w:t>
            </w:r>
            <w:r w:rsidRPr="00660438">
              <w:rPr>
                <w:rFonts w:ascii="Arial" w:hAnsi="Arial" w:cs="Arial"/>
                <w:sz w:val="20"/>
                <w:szCs w:val="20"/>
                <w:vertAlign w:val="subscript"/>
              </w:rPr>
              <w:t>a</w:t>
            </w:r>
            <w:proofErr w:type="spellEnd"/>
            <w:r w:rsidRPr="0066043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08" w:type="dxa"/>
            <w:vAlign w:val="center"/>
          </w:tcPr>
          <w:p w14:paraId="3DF5DE2B" w14:textId="0EBF2424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4352</w:t>
            </w:r>
          </w:p>
        </w:tc>
      </w:tr>
      <w:tr w:rsidR="00660438" w:rsidRPr="00660438" w14:paraId="71BD1987" w14:textId="77777777" w:rsidTr="006634DA">
        <w:tc>
          <w:tcPr>
            <w:tcW w:w="7508" w:type="dxa"/>
            <w:vAlign w:val="center"/>
          </w:tcPr>
          <w:p w14:paraId="1D5E9972" w14:textId="18EF5E48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Basic dissociation constant (</w:t>
            </w:r>
            <w:proofErr w:type="spellStart"/>
            <w:r w:rsidRPr="00660438">
              <w:rPr>
                <w:rFonts w:ascii="Arial" w:hAnsi="Arial" w:cs="Arial"/>
                <w:sz w:val="20"/>
                <w:szCs w:val="20"/>
              </w:rPr>
              <w:t>pK</w:t>
            </w:r>
            <w:r w:rsidRPr="00660438">
              <w:rPr>
                <w:rFonts w:ascii="Arial" w:hAnsi="Arial" w:cs="Arial"/>
                <w:sz w:val="20"/>
                <w:szCs w:val="20"/>
                <w:vertAlign w:val="subscript"/>
              </w:rPr>
              <w:t>b</w:t>
            </w:r>
            <w:proofErr w:type="spellEnd"/>
            <w:r w:rsidRPr="0066043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08" w:type="dxa"/>
            <w:vAlign w:val="center"/>
          </w:tcPr>
          <w:p w14:paraId="5131775D" w14:textId="29E8181C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4121</w:t>
            </w:r>
          </w:p>
        </w:tc>
      </w:tr>
      <w:tr w:rsidR="00660438" w:rsidRPr="00660438" w14:paraId="168741FE" w14:textId="77777777" w:rsidTr="006634DA">
        <w:tc>
          <w:tcPr>
            <w:tcW w:w="7508" w:type="dxa"/>
            <w:vAlign w:val="center"/>
          </w:tcPr>
          <w:p w14:paraId="22899B3F" w14:textId="5DADD4EF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Logarithm of the octanol-water partition coefficient (</w:t>
            </w:r>
            <w:proofErr w:type="spellStart"/>
            <w:r w:rsidRPr="00660438">
              <w:rPr>
                <w:rFonts w:ascii="Arial" w:hAnsi="Arial" w:cs="Arial"/>
                <w:sz w:val="20"/>
                <w:szCs w:val="20"/>
              </w:rPr>
              <w:t>logP</w:t>
            </w:r>
            <w:proofErr w:type="spellEnd"/>
            <w:r w:rsidRPr="0066043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08" w:type="dxa"/>
            <w:vAlign w:val="center"/>
          </w:tcPr>
          <w:p w14:paraId="1415771D" w14:textId="1BE2E5E6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14717</w:t>
            </w:r>
          </w:p>
        </w:tc>
      </w:tr>
      <w:tr w:rsidR="00660438" w:rsidRPr="00660438" w14:paraId="2505640D" w14:textId="77777777" w:rsidTr="006634DA">
        <w:tc>
          <w:tcPr>
            <w:tcW w:w="7508" w:type="dxa"/>
            <w:vAlign w:val="center"/>
          </w:tcPr>
          <w:p w14:paraId="44CBF913" w14:textId="3AFD906A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Logarithm of the octanol-water partition coefficient at pH 7.5 (logD</w:t>
            </w:r>
            <w:r w:rsidRPr="00660438">
              <w:rPr>
                <w:rFonts w:ascii="Arial" w:hAnsi="Arial" w:cs="Arial"/>
                <w:sz w:val="20"/>
                <w:szCs w:val="20"/>
                <w:vertAlign w:val="subscript"/>
              </w:rPr>
              <w:t>7.5</w:t>
            </w:r>
            <w:r w:rsidRPr="0066043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08" w:type="dxa"/>
            <w:vAlign w:val="center"/>
          </w:tcPr>
          <w:p w14:paraId="601F1F6C" w14:textId="15F04CAA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5088</w:t>
            </w:r>
          </w:p>
        </w:tc>
      </w:tr>
      <w:tr w:rsidR="00660438" w:rsidRPr="00660438" w14:paraId="0EDEF8A9" w14:textId="77777777" w:rsidTr="006634DA">
        <w:tc>
          <w:tcPr>
            <w:tcW w:w="7508" w:type="dxa"/>
            <w:vAlign w:val="center"/>
          </w:tcPr>
          <w:p w14:paraId="69C3D0DB" w14:textId="64601A32" w:rsidR="00660438" w:rsidRPr="00660438" w:rsidRDefault="00660438" w:rsidP="00660438">
            <w:pPr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Hygroscopicity</w:t>
            </w:r>
          </w:p>
        </w:tc>
        <w:tc>
          <w:tcPr>
            <w:tcW w:w="1508" w:type="dxa"/>
            <w:vAlign w:val="center"/>
          </w:tcPr>
          <w:p w14:paraId="1830454A" w14:textId="30952124" w:rsidR="00660438" w:rsidRPr="00660438" w:rsidRDefault="00660438" w:rsidP="00660438">
            <w:pPr>
              <w:keepNext/>
              <w:spacing w:beforeLines="50" w:before="120" w:afterLines="5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0438">
              <w:rPr>
                <w:rFonts w:ascii="Arial" w:hAnsi="Arial" w:cs="Arial"/>
                <w:sz w:val="20"/>
                <w:szCs w:val="20"/>
              </w:rPr>
              <w:t>635</w:t>
            </w:r>
          </w:p>
        </w:tc>
      </w:tr>
    </w:tbl>
    <w:p w14:paraId="0CD5B213" w14:textId="616D89C2" w:rsidR="00660438" w:rsidRPr="00660438" w:rsidRDefault="00660438" w:rsidP="00660438">
      <w:pPr>
        <w:pStyle w:val="ae"/>
        <w:spacing w:beforeLines="50" w:before="120" w:afterLines="50" w:after="120" w:line="360" w:lineRule="auto"/>
        <w:jc w:val="center"/>
        <w:rPr>
          <w:rFonts w:ascii="Arial" w:hAnsi="Arial" w:cs="Arial"/>
        </w:rPr>
      </w:pPr>
      <w:r w:rsidRPr="00660438">
        <w:rPr>
          <w:rFonts w:ascii="Arial" w:hAnsi="Arial" w:cs="Arial"/>
        </w:rPr>
        <w:t xml:space="preserve">Table </w:t>
      </w:r>
      <w:r w:rsidRPr="00660438">
        <w:rPr>
          <w:rFonts w:ascii="Arial" w:hAnsi="Arial" w:cs="Arial"/>
        </w:rPr>
        <w:fldChar w:fldCharType="begin"/>
      </w:r>
      <w:r w:rsidRPr="00660438">
        <w:rPr>
          <w:rFonts w:ascii="Arial" w:hAnsi="Arial" w:cs="Arial"/>
        </w:rPr>
        <w:instrText xml:space="preserve"> SEQ Table \* ARABIC </w:instrText>
      </w:r>
      <w:r w:rsidRPr="00660438">
        <w:rPr>
          <w:rFonts w:ascii="Arial" w:hAnsi="Arial" w:cs="Arial"/>
        </w:rPr>
        <w:fldChar w:fldCharType="separate"/>
      </w:r>
      <w:r w:rsidRPr="00660438">
        <w:rPr>
          <w:rFonts w:ascii="Arial" w:hAnsi="Arial" w:cs="Arial"/>
          <w:noProof/>
        </w:rPr>
        <w:t>1</w:t>
      </w:r>
      <w:r w:rsidRPr="00660438">
        <w:rPr>
          <w:rFonts w:ascii="Arial" w:hAnsi="Arial" w:cs="Arial"/>
        </w:rPr>
        <w:fldChar w:fldCharType="end"/>
      </w:r>
      <w:r w:rsidRPr="00660438">
        <w:rPr>
          <w:rFonts w:ascii="Arial" w:hAnsi="Arial" w:cs="Arial"/>
        </w:rPr>
        <w:t xml:space="preserve"> </w:t>
      </w:r>
      <w:r w:rsidRPr="00660438">
        <w:rPr>
          <w:rFonts w:ascii="Arial" w:hAnsi="Arial" w:cs="Arial"/>
          <w:color w:val="000000"/>
          <w:kern w:val="0"/>
          <w:lang w:val="en-US"/>
        </w:rPr>
        <w:t>Datasets overview</w:t>
      </w:r>
    </w:p>
    <w:sectPr w:rsidR="00660438" w:rsidRPr="006604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88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107368"/>
    <w:rsid w:val="00113BB7"/>
    <w:rsid w:val="001E7CED"/>
    <w:rsid w:val="002017E6"/>
    <w:rsid w:val="00294059"/>
    <w:rsid w:val="003206E4"/>
    <w:rsid w:val="00345E02"/>
    <w:rsid w:val="003A6D5C"/>
    <w:rsid w:val="004A51B6"/>
    <w:rsid w:val="00510CF8"/>
    <w:rsid w:val="00575A29"/>
    <w:rsid w:val="00601754"/>
    <w:rsid w:val="00660438"/>
    <w:rsid w:val="006634DA"/>
    <w:rsid w:val="006A34BE"/>
    <w:rsid w:val="006F3F1C"/>
    <w:rsid w:val="006F5204"/>
    <w:rsid w:val="007141F2"/>
    <w:rsid w:val="007561D8"/>
    <w:rsid w:val="00781D4A"/>
    <w:rsid w:val="00795378"/>
    <w:rsid w:val="00796206"/>
    <w:rsid w:val="007C367E"/>
    <w:rsid w:val="008071C5"/>
    <w:rsid w:val="008B1DC6"/>
    <w:rsid w:val="00906D34"/>
    <w:rsid w:val="00933DC9"/>
    <w:rsid w:val="00934DA8"/>
    <w:rsid w:val="00936D4C"/>
    <w:rsid w:val="009523F9"/>
    <w:rsid w:val="009650DF"/>
    <w:rsid w:val="009B1CBB"/>
    <w:rsid w:val="00A0516D"/>
    <w:rsid w:val="00A77F08"/>
    <w:rsid w:val="00A80826"/>
    <w:rsid w:val="00B4721D"/>
    <w:rsid w:val="00B8473A"/>
    <w:rsid w:val="00C21815"/>
    <w:rsid w:val="00C315D2"/>
    <w:rsid w:val="00C353D8"/>
    <w:rsid w:val="00CF5A91"/>
    <w:rsid w:val="00D02BB1"/>
    <w:rsid w:val="00D45A74"/>
    <w:rsid w:val="00D7428F"/>
    <w:rsid w:val="00DE08B6"/>
    <w:rsid w:val="00EC3746"/>
    <w:rsid w:val="00F539FB"/>
    <w:rsid w:val="00F836A5"/>
    <w:rsid w:val="00F85528"/>
    <w:rsid w:val="00FF21A0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9E18DD"/>
  <w14:defaultImageDpi w14:val="32767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宋体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315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15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15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315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paragraph" w:styleId="ae">
    <w:name w:val="caption"/>
    <w:basedOn w:val="a"/>
    <w:next w:val="a"/>
    <w:uiPriority w:val="35"/>
    <w:unhideWhenUsed/>
    <w:qFormat/>
    <w:rsid w:val="00660438"/>
    <w:rPr>
      <w:rFonts w:asciiTheme="majorHAnsi" w:eastAsia="黑体" w:hAnsiTheme="majorHAnsi" w:cstheme="majorBidi"/>
      <w:sz w:val="20"/>
      <w:szCs w:val="20"/>
    </w:rPr>
  </w:style>
  <w:style w:type="table" w:styleId="af">
    <w:name w:val="Table Grid"/>
    <w:basedOn w:val="a1"/>
    <w:uiPriority w:val="39"/>
    <w:rsid w:val="00660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3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Wang Nannan</cp:lastModifiedBy>
  <cp:revision>14</cp:revision>
  <dcterms:created xsi:type="dcterms:W3CDTF">2025-05-22T02:24:00Z</dcterms:created>
  <dcterms:modified xsi:type="dcterms:W3CDTF">2025-05-22T13:28:00Z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