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6C" w:rsidRPr="00CC286C" w:rsidRDefault="00CC286C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MOLECULAR DOCKING APPROACH, INTERNAL AND EXTERNAL VALIDATION AND PREDICTION OF </w:t>
      </w:r>
      <w:proofErr w:type="spellStart"/>
      <w:r w:rsidRPr="00CC286C">
        <w:rPr>
          <w:rFonts w:ascii="Arial" w:eastAsia="Arial" w:hAnsi="Arial" w:cs="Arial"/>
          <w:b/>
          <w:i/>
          <w:sz w:val="20"/>
          <w:szCs w:val="20"/>
        </w:rPr>
        <w:t>Sargassum</w:t>
      </w:r>
      <w:proofErr w:type="spellEnd"/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 sp. AGAINST CARBONIC ANHYDRASE II </w:t>
      </w:r>
    </w:p>
    <w:p w:rsidR="00CC286C" w:rsidRPr="00CC286C" w:rsidRDefault="00CC286C" w:rsidP="00CC286C">
      <w:pPr>
        <w:spacing w:after="0" w:line="0" w:lineRule="atLeast"/>
        <w:rPr>
          <w:rFonts w:ascii="Arial" w:eastAsia="Arial" w:hAnsi="Arial" w:cs="Arial"/>
          <w:b/>
          <w:i/>
          <w:sz w:val="20"/>
          <w:szCs w:val="20"/>
        </w:rPr>
      </w:pPr>
    </w:p>
    <w:p w:rsidR="00CC286C" w:rsidRPr="00E5174D" w:rsidRDefault="00CC286C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  <w:proofErr w:type="spellStart"/>
      <w:r w:rsidRPr="00CC286C">
        <w:rPr>
          <w:rFonts w:ascii="Arial" w:eastAsia="Arial" w:hAnsi="Arial" w:cs="Arial"/>
          <w:b/>
          <w:i/>
          <w:sz w:val="20"/>
          <w:szCs w:val="20"/>
        </w:rPr>
        <w:t>Okta</w:t>
      </w:r>
      <w:proofErr w:type="spellEnd"/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 Nursanti</w:t>
      </w:r>
      <w:r w:rsidRPr="00CC286C">
        <w:rPr>
          <w:rFonts w:ascii="Arial" w:eastAsia="Arial" w:hAnsi="Arial" w:cs="Arial"/>
          <w:b/>
          <w:i/>
          <w:sz w:val="20"/>
          <w:szCs w:val="20"/>
          <w:vertAlign w:val="superscript"/>
        </w:rPr>
        <w:t>1</w:t>
      </w:r>
      <w:r w:rsidRPr="00CC286C">
        <w:rPr>
          <w:rFonts w:ascii="Arial" w:eastAsia="Times New Roman" w:hAnsi="Arial" w:cs="Arial"/>
          <w:b/>
          <w:i/>
          <w:sz w:val="20"/>
          <w:szCs w:val="20"/>
        </w:rPr>
        <w:t>*</w:t>
      </w:r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, </w:t>
      </w:r>
      <w:proofErr w:type="spellStart"/>
      <w:r w:rsidRPr="00CC286C">
        <w:rPr>
          <w:rFonts w:ascii="Arial" w:eastAsia="Arial" w:hAnsi="Arial" w:cs="Arial"/>
          <w:b/>
          <w:i/>
          <w:sz w:val="20"/>
          <w:szCs w:val="20"/>
        </w:rPr>
        <w:t>Yahdiana</w:t>
      </w:r>
      <w:proofErr w:type="spellEnd"/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 Harahap</w:t>
      </w:r>
      <w:r w:rsidRPr="00CC286C">
        <w:rPr>
          <w:rFonts w:ascii="Arial" w:eastAsia="Arial" w:hAnsi="Arial" w:cs="Arial"/>
          <w:b/>
          <w:i/>
          <w:sz w:val="20"/>
          <w:szCs w:val="20"/>
          <w:vertAlign w:val="superscript"/>
        </w:rPr>
        <w:t>1</w:t>
      </w:r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, </w:t>
      </w:r>
      <w:proofErr w:type="spellStart"/>
      <w:r w:rsidRPr="00CC286C">
        <w:rPr>
          <w:rFonts w:ascii="Arial" w:eastAsia="Arial" w:hAnsi="Arial" w:cs="Arial"/>
          <w:b/>
          <w:i/>
          <w:sz w:val="20"/>
          <w:szCs w:val="20"/>
        </w:rPr>
        <w:t>Liliek</w:t>
      </w:r>
      <w:proofErr w:type="spellEnd"/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 Nurhidayati</w:t>
      </w:r>
      <w:r w:rsidRPr="00CC286C">
        <w:rPr>
          <w:rFonts w:ascii="Arial" w:eastAsia="Arial" w:hAnsi="Arial" w:cs="Arial"/>
          <w:b/>
          <w:i/>
          <w:sz w:val="20"/>
          <w:szCs w:val="20"/>
          <w:vertAlign w:val="superscript"/>
        </w:rPr>
        <w:t>2</w:t>
      </w:r>
    </w:p>
    <w:p w:rsidR="00FA5712" w:rsidRPr="00CC286C" w:rsidRDefault="00FA5712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CC286C" w:rsidRPr="00CC286C" w:rsidRDefault="00CC286C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CC286C">
        <w:rPr>
          <w:rFonts w:ascii="Arial" w:eastAsia="Arial" w:hAnsi="Arial" w:cs="Arial"/>
          <w:b/>
          <w:i/>
          <w:sz w:val="20"/>
          <w:szCs w:val="20"/>
          <w:vertAlign w:val="superscript"/>
        </w:rPr>
        <w:t>1</w:t>
      </w:r>
      <w:r w:rsidRPr="00CC286C">
        <w:rPr>
          <w:rFonts w:ascii="Arial" w:eastAsia="Arial" w:hAnsi="Arial" w:cs="Arial"/>
          <w:b/>
          <w:i/>
          <w:sz w:val="20"/>
          <w:szCs w:val="20"/>
        </w:rPr>
        <w:t xml:space="preserve">Faculty of Military Pharmacy, </w:t>
      </w:r>
      <w:r w:rsidR="00C709A8">
        <w:rPr>
          <w:rFonts w:ascii="Arial" w:eastAsia="Arial" w:hAnsi="Arial" w:cs="Arial"/>
          <w:b/>
          <w:i/>
          <w:sz w:val="20"/>
          <w:szCs w:val="20"/>
        </w:rPr>
        <w:t xml:space="preserve">Republic </w:t>
      </w:r>
      <w:r w:rsidRPr="00CC286C">
        <w:rPr>
          <w:rFonts w:ascii="Arial" w:eastAsia="Arial" w:hAnsi="Arial" w:cs="Arial"/>
          <w:b/>
          <w:i/>
          <w:sz w:val="20"/>
          <w:szCs w:val="20"/>
        </w:rPr>
        <w:t>Indonesia</w:t>
      </w:r>
      <w:r w:rsidR="00C709A8">
        <w:rPr>
          <w:rFonts w:ascii="Arial" w:eastAsia="Arial" w:hAnsi="Arial" w:cs="Arial"/>
          <w:b/>
          <w:i/>
          <w:sz w:val="20"/>
          <w:szCs w:val="20"/>
        </w:rPr>
        <w:t xml:space="preserve"> Defense University, </w:t>
      </w:r>
      <w:proofErr w:type="spellStart"/>
      <w:r w:rsidR="00C709A8">
        <w:rPr>
          <w:rFonts w:ascii="Arial" w:eastAsia="Arial" w:hAnsi="Arial" w:cs="Arial"/>
          <w:b/>
          <w:i/>
          <w:sz w:val="20"/>
          <w:szCs w:val="20"/>
        </w:rPr>
        <w:t>Sentul</w:t>
      </w:r>
      <w:proofErr w:type="spellEnd"/>
      <w:r w:rsidR="00C709A8">
        <w:rPr>
          <w:rFonts w:ascii="Arial" w:eastAsia="Arial" w:hAnsi="Arial" w:cs="Arial"/>
          <w:b/>
          <w:i/>
          <w:sz w:val="20"/>
          <w:szCs w:val="20"/>
        </w:rPr>
        <w:t xml:space="preserve">, Bogor, </w:t>
      </w:r>
      <w:r w:rsidR="005124DA" w:rsidRPr="00E5174D">
        <w:rPr>
          <w:rFonts w:ascii="Arial" w:eastAsia="Arial" w:hAnsi="Arial" w:cs="Arial"/>
          <w:b/>
          <w:i/>
          <w:sz w:val="20"/>
          <w:szCs w:val="20"/>
        </w:rPr>
        <w:t>Indonesia</w:t>
      </w:r>
    </w:p>
    <w:p w:rsidR="00CC286C" w:rsidRDefault="00CC286C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CC286C">
        <w:rPr>
          <w:rFonts w:ascii="Arial" w:eastAsia="Arial" w:hAnsi="Arial" w:cs="Arial"/>
          <w:b/>
          <w:i/>
          <w:sz w:val="20"/>
          <w:szCs w:val="20"/>
          <w:vertAlign w:val="superscript"/>
        </w:rPr>
        <w:t>2</w:t>
      </w:r>
      <w:r w:rsidR="00C709A8">
        <w:rPr>
          <w:rFonts w:ascii="Arial" w:eastAsia="Arial" w:hAnsi="Arial" w:cs="Arial"/>
          <w:b/>
          <w:i/>
          <w:sz w:val="20"/>
          <w:szCs w:val="20"/>
        </w:rPr>
        <w:t xml:space="preserve">Faculty of Pharmacy, </w:t>
      </w:r>
      <w:r w:rsidRPr="00CC286C">
        <w:rPr>
          <w:rFonts w:ascii="Arial" w:eastAsia="Arial" w:hAnsi="Arial" w:cs="Arial"/>
          <w:b/>
          <w:i/>
          <w:sz w:val="20"/>
          <w:szCs w:val="20"/>
        </w:rPr>
        <w:t>University</w:t>
      </w:r>
      <w:r w:rsidR="00C709A8">
        <w:rPr>
          <w:rFonts w:ascii="Arial" w:eastAsia="Arial" w:hAnsi="Arial" w:cs="Arial"/>
          <w:b/>
          <w:i/>
          <w:sz w:val="20"/>
          <w:szCs w:val="20"/>
        </w:rPr>
        <w:t xml:space="preserve"> of Pancasila, </w:t>
      </w:r>
      <w:proofErr w:type="spellStart"/>
      <w:r w:rsidR="00C709A8">
        <w:rPr>
          <w:rFonts w:ascii="Arial" w:eastAsia="Arial" w:hAnsi="Arial" w:cs="Arial"/>
          <w:b/>
          <w:i/>
          <w:sz w:val="20"/>
          <w:szCs w:val="20"/>
        </w:rPr>
        <w:t>Srengseng</w:t>
      </w:r>
      <w:proofErr w:type="spellEnd"/>
      <w:r w:rsidR="00C709A8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C709A8">
        <w:rPr>
          <w:rFonts w:ascii="Arial" w:eastAsia="Arial" w:hAnsi="Arial" w:cs="Arial"/>
          <w:b/>
          <w:i/>
          <w:sz w:val="20"/>
          <w:szCs w:val="20"/>
        </w:rPr>
        <w:t>Sawah</w:t>
      </w:r>
      <w:proofErr w:type="spellEnd"/>
      <w:r w:rsidR="00C709A8">
        <w:rPr>
          <w:rFonts w:ascii="Arial" w:eastAsia="Arial" w:hAnsi="Arial" w:cs="Arial"/>
          <w:b/>
          <w:i/>
          <w:sz w:val="20"/>
          <w:szCs w:val="20"/>
        </w:rPr>
        <w:t xml:space="preserve">, Jakarta, </w:t>
      </w:r>
      <w:r w:rsidR="005124DA" w:rsidRPr="00E5174D">
        <w:rPr>
          <w:rFonts w:ascii="Arial" w:eastAsia="Arial" w:hAnsi="Arial" w:cs="Arial"/>
          <w:b/>
          <w:i/>
          <w:sz w:val="20"/>
          <w:szCs w:val="20"/>
        </w:rPr>
        <w:t>Indonesia</w:t>
      </w:r>
    </w:p>
    <w:p w:rsidR="001D505A" w:rsidRPr="00CC286C" w:rsidRDefault="001D505A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CC286C" w:rsidRDefault="00CC286C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CC286C">
        <w:rPr>
          <w:rFonts w:ascii="Arial" w:eastAsia="Arial" w:hAnsi="Arial" w:cs="Arial"/>
          <w:b/>
          <w:i/>
          <w:sz w:val="20"/>
          <w:szCs w:val="20"/>
        </w:rPr>
        <w:t>*Corresponding Author:</w:t>
      </w:r>
      <w:r w:rsidRPr="00CC286C">
        <w:rPr>
          <w:rFonts w:ascii="Arial" w:eastAsia="Calibri" w:hAnsi="Arial" w:cs="Arial"/>
          <w:sz w:val="20"/>
          <w:szCs w:val="20"/>
        </w:rPr>
        <w:t xml:space="preserve"> </w:t>
      </w:r>
      <w:hyperlink r:id="rId4" w:history="1">
        <w:r w:rsidR="00CF5E4F" w:rsidRPr="000506C7">
          <w:rPr>
            <w:rStyle w:val="Hyperlink"/>
            <w:rFonts w:ascii="Arial" w:eastAsia="Arial" w:hAnsi="Arial" w:cs="Arial"/>
            <w:b/>
            <w:i/>
            <w:color w:val="auto"/>
            <w:sz w:val="20"/>
            <w:szCs w:val="20"/>
          </w:rPr>
          <w:t>okta.nursanti@yahoo.com</w:t>
        </w:r>
      </w:hyperlink>
    </w:p>
    <w:p w:rsidR="001D505A" w:rsidRPr="000506C7" w:rsidRDefault="001D505A" w:rsidP="001D505A">
      <w:pPr>
        <w:spacing w:after="0" w:line="0" w:lineRule="atLeast"/>
        <w:rPr>
          <w:rFonts w:ascii="Arial" w:eastAsia="Arial" w:hAnsi="Arial" w:cs="Arial"/>
          <w:b/>
          <w:i/>
          <w:sz w:val="20"/>
          <w:szCs w:val="20"/>
        </w:rPr>
      </w:pPr>
    </w:p>
    <w:p w:rsidR="00CF5E4F" w:rsidRPr="00CC286C" w:rsidRDefault="00CF5E4F" w:rsidP="00CC286C">
      <w:pPr>
        <w:spacing w:after="0" w:line="0" w:lineRule="atLeast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CC286C" w:rsidRPr="00E5174D" w:rsidRDefault="00CC286C" w:rsidP="00CC286C">
      <w:pPr>
        <w:spacing w:after="0" w:line="0" w:lineRule="atLeast"/>
        <w:rPr>
          <w:rFonts w:ascii="Arial" w:eastAsia="Arial" w:hAnsi="Arial" w:cs="Arial"/>
          <w:b/>
          <w:i/>
          <w:sz w:val="20"/>
          <w:szCs w:val="20"/>
        </w:rPr>
      </w:pPr>
      <w:r w:rsidRPr="00CC286C">
        <w:rPr>
          <w:rFonts w:ascii="Arial" w:eastAsia="Arial" w:hAnsi="Arial" w:cs="Arial"/>
          <w:b/>
          <w:i/>
          <w:sz w:val="20"/>
          <w:szCs w:val="20"/>
        </w:rPr>
        <w:t>ABSTRACT</w:t>
      </w:r>
    </w:p>
    <w:p w:rsidR="00812E12" w:rsidRPr="00E5174D" w:rsidRDefault="00812E12" w:rsidP="00CC286C">
      <w:pPr>
        <w:spacing w:after="0" w:line="0" w:lineRule="atLeast"/>
        <w:rPr>
          <w:rFonts w:ascii="Arial" w:eastAsia="Arial" w:hAnsi="Arial" w:cs="Arial"/>
          <w:b/>
          <w:i/>
          <w:sz w:val="20"/>
          <w:szCs w:val="20"/>
        </w:rPr>
      </w:pPr>
    </w:p>
    <w:p w:rsidR="00812E12" w:rsidRPr="00CC286C" w:rsidRDefault="00812E12" w:rsidP="00CC286C">
      <w:pPr>
        <w:spacing w:after="0" w:line="0" w:lineRule="atLeast"/>
        <w:rPr>
          <w:rFonts w:ascii="Arial" w:eastAsia="Arial" w:hAnsi="Arial" w:cs="Arial"/>
          <w:b/>
          <w:i/>
          <w:sz w:val="20"/>
          <w:szCs w:val="20"/>
        </w:rPr>
      </w:pPr>
      <w:r w:rsidRPr="00E5174D">
        <w:rPr>
          <w:rFonts w:ascii="Arial" w:eastAsia="Arial" w:hAnsi="Arial" w:cs="Arial"/>
          <w:b/>
          <w:i/>
          <w:sz w:val="20"/>
          <w:szCs w:val="20"/>
        </w:rPr>
        <w:t>Background and aims</w:t>
      </w:r>
      <w:r w:rsidR="00260852" w:rsidRPr="00E5174D">
        <w:rPr>
          <w:rFonts w:ascii="Arial" w:eastAsia="Arial" w:hAnsi="Arial" w:cs="Arial"/>
          <w:b/>
          <w:i/>
          <w:sz w:val="20"/>
          <w:szCs w:val="20"/>
        </w:rPr>
        <w:t>:</w:t>
      </w:r>
    </w:p>
    <w:p w:rsidR="00CC286C" w:rsidRPr="00CC286C" w:rsidRDefault="00CC286C" w:rsidP="00CC286C">
      <w:pPr>
        <w:spacing w:after="0" w:line="131" w:lineRule="exact"/>
        <w:rPr>
          <w:rFonts w:ascii="Arial" w:eastAsia="Times New Roman" w:hAnsi="Arial" w:cs="Arial"/>
          <w:sz w:val="20"/>
          <w:szCs w:val="20"/>
        </w:rPr>
      </w:pPr>
    </w:p>
    <w:p w:rsidR="00CC286C" w:rsidRPr="00CC286C" w:rsidRDefault="00CC286C" w:rsidP="00CC286C">
      <w:pPr>
        <w:spacing w:after="0" w:line="20" w:lineRule="exact"/>
        <w:rPr>
          <w:rFonts w:ascii="Arial" w:eastAsia="Times New Roman" w:hAnsi="Arial" w:cs="Arial"/>
          <w:sz w:val="20"/>
          <w:szCs w:val="20"/>
        </w:rPr>
      </w:pPr>
    </w:p>
    <w:p w:rsidR="00CC286C" w:rsidRPr="00CC286C" w:rsidRDefault="00CC286C" w:rsidP="00CC286C">
      <w:pPr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Virtual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screening,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or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insilico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screening is a high-performance computational method for analyzing a set of chemical compound databases to identify candidate drug compounds. Research studies demonstrate the potential of compounds present in brown grass using molecular docking research.</w:t>
      </w:r>
    </w:p>
    <w:p w:rsidR="00CC286C" w:rsidRPr="00CC286C" w:rsidRDefault="00CC286C" w:rsidP="00CC286C">
      <w:pPr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Computational molecular docking screening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was performed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using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Molegro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Virtual Docker 6.0 (MVD) software. The carbonic anhydrase enzyme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was extracted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from the protein database (5GMN).</w:t>
      </w:r>
    </w:p>
    <w:p w:rsidR="00260852" w:rsidRPr="00E5174D" w:rsidRDefault="00260852" w:rsidP="00CC286C">
      <w:pPr>
        <w:jc w:val="both"/>
        <w:rPr>
          <w:rFonts w:ascii="Arial" w:eastAsia="Calibri" w:hAnsi="Arial" w:cs="Arial"/>
          <w:b/>
          <w:sz w:val="20"/>
          <w:szCs w:val="20"/>
          <w:lang w:val="en"/>
        </w:rPr>
      </w:pPr>
      <w:r w:rsidRPr="00E5174D">
        <w:rPr>
          <w:rFonts w:ascii="Arial" w:eastAsia="Calibri" w:hAnsi="Arial" w:cs="Arial"/>
          <w:b/>
          <w:sz w:val="20"/>
          <w:szCs w:val="20"/>
          <w:lang w:val="en"/>
        </w:rPr>
        <w:t>Methods:</w:t>
      </w:r>
    </w:p>
    <w:p w:rsidR="00CC286C" w:rsidRPr="00E5174D" w:rsidRDefault="00CC286C" w:rsidP="00CC286C">
      <w:pPr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Molecular docking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was performed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using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Molegro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Virtual Docker (MVD) 6.0 at the active site at the active site of the carbonic anhydrase enzyme to predict the activity of the compound. Docking validation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was carried out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by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redocking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the natural ligand of the 5GMN enzyme into its active site. Acceptance criteria were determined with a Root Mean Square Deviation (RMSD) value below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2.0 .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Validation of the method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can be seen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from the RMSD value obtained when anchoring the reference ligand to the receptor. RMSD value 1.13 Angstrom (RMSD &lt; 2).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MolDock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(Grid) Score (scoring function) and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MolDock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Optimizer (algorithm) show that this method has a high validity value.</w:t>
      </w:r>
    </w:p>
    <w:p w:rsidR="00060AAC" w:rsidRPr="00CC286C" w:rsidRDefault="00060AAC" w:rsidP="00CC286C">
      <w:pPr>
        <w:jc w:val="both"/>
        <w:rPr>
          <w:rFonts w:ascii="Arial" w:eastAsia="Calibri" w:hAnsi="Arial" w:cs="Arial"/>
          <w:b/>
          <w:sz w:val="20"/>
          <w:szCs w:val="20"/>
          <w:lang w:val="en"/>
        </w:rPr>
      </w:pPr>
      <w:r w:rsidRPr="00E5174D">
        <w:rPr>
          <w:rFonts w:ascii="Arial" w:eastAsia="Calibri" w:hAnsi="Arial" w:cs="Arial"/>
          <w:b/>
          <w:sz w:val="20"/>
          <w:szCs w:val="20"/>
          <w:lang w:val="en"/>
        </w:rPr>
        <w:t>Results.</w:t>
      </w:r>
    </w:p>
    <w:p w:rsidR="00CC286C" w:rsidRPr="00CC286C" w:rsidRDefault="00CC286C" w:rsidP="00CC286C">
      <w:pPr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This combination was maintained and its toughness was retested using as many as 100 distracting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compounds which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were tethered together with the training set. </w:t>
      </w:r>
    </w:p>
    <w:p w:rsidR="00CC286C" w:rsidRPr="00E5174D" w:rsidRDefault="00CC286C" w:rsidP="00CC286C">
      <w:pPr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Obtained the best 4 combinations seen from the enrichment factor, EF (1% ;5% ;10% ;20%) of 10.2 ;1.96 ; 4 ; 3, the procedure was further assessed by using the ROC curve value of 0.859, obtained the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MolDock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Score (Grid) vs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MolDock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Optimizer method</w:t>
      </w:r>
    </w:p>
    <w:p w:rsidR="00060AAC" w:rsidRPr="00CC286C" w:rsidRDefault="00060AAC" w:rsidP="00060AAC">
      <w:pPr>
        <w:jc w:val="both"/>
        <w:rPr>
          <w:rFonts w:ascii="Arial" w:eastAsia="Calibri" w:hAnsi="Arial" w:cs="Arial"/>
          <w:b/>
          <w:sz w:val="20"/>
          <w:szCs w:val="20"/>
          <w:lang w:val="en"/>
        </w:rPr>
      </w:pPr>
      <w:r w:rsidRPr="00E5174D">
        <w:rPr>
          <w:rFonts w:ascii="Arial" w:eastAsia="Calibri" w:hAnsi="Arial" w:cs="Arial"/>
          <w:b/>
          <w:sz w:val="20"/>
          <w:szCs w:val="20"/>
          <w:lang w:val="en"/>
        </w:rPr>
        <w:t>Conclusion/Discussion.</w:t>
      </w:r>
    </w:p>
    <w:p w:rsidR="00CC286C" w:rsidRPr="00CC286C" w:rsidRDefault="00CC286C" w:rsidP="00CC286C">
      <w:pPr>
        <w:jc w:val="both"/>
        <w:rPr>
          <w:rFonts w:ascii="Arial" w:eastAsia="Calibri" w:hAnsi="Arial" w:cs="Arial"/>
          <w:sz w:val="20"/>
          <w:szCs w:val="20"/>
        </w:rPr>
      </w:pPr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The results showed that all compounds worked relatively well against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Polmacoxib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as a natural ligand </w:t>
      </w:r>
      <w:proofErr w:type="gramStart"/>
      <w:r w:rsidRPr="00CC286C">
        <w:rPr>
          <w:rFonts w:ascii="Arial" w:eastAsia="Calibri" w:hAnsi="Arial" w:cs="Arial"/>
          <w:sz w:val="20"/>
          <w:szCs w:val="20"/>
          <w:lang w:val="en"/>
        </w:rPr>
        <w:t>and also</w:t>
      </w:r>
      <w:proofErr w:type="gram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had a lower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rerank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score than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Polmacoxib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and Celecoxib. From this study, it can be concluded that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Trephloroethol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,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Fukosterol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,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Eckol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,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Sargahydroquinic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Acid, 7-Phloroeckol,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Dieckol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,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Chlorogenic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Acid,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Diphlorethohydroxycarmalol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,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Stigmasterol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are estimated to be more potent active ligands than the other 2 training sets. Prediction of the toxicity of </w:t>
      </w:r>
      <w:proofErr w:type="spellStart"/>
      <w:r w:rsidRPr="00CC286C">
        <w:rPr>
          <w:rFonts w:ascii="Arial" w:eastAsia="Calibri" w:hAnsi="Arial" w:cs="Arial"/>
          <w:sz w:val="20"/>
          <w:szCs w:val="20"/>
          <w:lang w:val="en"/>
        </w:rPr>
        <w:t>stigmasterol</w:t>
      </w:r>
      <w:proofErr w:type="spellEnd"/>
      <w:r w:rsidRPr="00CC286C">
        <w:rPr>
          <w:rFonts w:ascii="Arial" w:eastAsia="Calibri" w:hAnsi="Arial" w:cs="Arial"/>
          <w:sz w:val="20"/>
          <w:szCs w:val="20"/>
          <w:lang w:val="en"/>
        </w:rPr>
        <w:t xml:space="preserve"> compounds is relatively safe with an LD50 value of 866mg/kg and is not hepatotoxic, carcinogenic and cytotoxic and can be further optimized pharmacologically and evaluated clinically.</w:t>
      </w:r>
    </w:p>
    <w:p w:rsidR="00CC286C" w:rsidRPr="00CC286C" w:rsidRDefault="00CC286C" w:rsidP="00CC286C">
      <w:pPr>
        <w:spacing w:after="0" w:line="200" w:lineRule="exact"/>
        <w:rPr>
          <w:rFonts w:ascii="Arial" w:eastAsia="Arial" w:hAnsi="Arial" w:cs="Arial"/>
          <w:b/>
          <w:i/>
          <w:sz w:val="20"/>
          <w:szCs w:val="20"/>
          <w:lang w:val="en"/>
        </w:rPr>
      </w:pPr>
      <w:r w:rsidRPr="00CC286C">
        <w:rPr>
          <w:rFonts w:ascii="Arial" w:eastAsia="Arial" w:hAnsi="Arial" w:cs="Arial"/>
          <w:b/>
          <w:i/>
          <w:sz w:val="20"/>
          <w:szCs w:val="20"/>
          <w:lang w:val="en"/>
        </w:rPr>
        <w:t>Keywords</w:t>
      </w:r>
      <w:proofErr w:type="gramStart"/>
      <w:r w:rsidRPr="00CC286C">
        <w:rPr>
          <w:rFonts w:ascii="Arial" w:eastAsia="Arial" w:hAnsi="Arial" w:cs="Arial"/>
          <w:b/>
          <w:i/>
          <w:sz w:val="20"/>
          <w:szCs w:val="20"/>
          <w:lang w:val="en"/>
        </w:rPr>
        <w:t>:,</w:t>
      </w:r>
      <w:proofErr w:type="gramEnd"/>
      <w:r w:rsidRPr="00CC286C">
        <w:rPr>
          <w:rFonts w:ascii="Arial" w:eastAsia="Arial" w:hAnsi="Arial" w:cs="Arial"/>
          <w:b/>
          <w:i/>
          <w:sz w:val="20"/>
          <w:szCs w:val="20"/>
          <w:lang w:val="en"/>
        </w:rPr>
        <w:t xml:space="preserve"> carbonic anhydrase, molecular docking,</w:t>
      </w:r>
      <w:r w:rsidRPr="00CC286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C286C">
        <w:rPr>
          <w:rFonts w:ascii="Arial" w:eastAsia="Arial" w:hAnsi="Arial" w:cs="Arial"/>
          <w:b/>
          <w:i/>
          <w:sz w:val="20"/>
          <w:szCs w:val="20"/>
          <w:lang w:val="en"/>
        </w:rPr>
        <w:t>stigmasterol</w:t>
      </w:r>
      <w:proofErr w:type="spellEnd"/>
      <w:r w:rsidRPr="00CC286C">
        <w:rPr>
          <w:rFonts w:ascii="Arial" w:eastAsia="Arial" w:hAnsi="Arial" w:cs="Arial"/>
          <w:b/>
          <w:i/>
          <w:sz w:val="20"/>
          <w:szCs w:val="20"/>
          <w:lang w:val="en"/>
        </w:rPr>
        <w:t>.</w:t>
      </w:r>
    </w:p>
    <w:p w:rsidR="00CC286C" w:rsidRPr="00CC286C" w:rsidRDefault="00CC286C" w:rsidP="00CC286C">
      <w:pPr>
        <w:spacing w:after="0" w:line="200" w:lineRule="exact"/>
        <w:rPr>
          <w:rFonts w:ascii="Arial" w:eastAsia="Arial" w:hAnsi="Arial" w:cs="Arial"/>
          <w:b/>
          <w:i/>
          <w:sz w:val="20"/>
          <w:szCs w:val="20"/>
          <w:lang w:val="en"/>
        </w:rPr>
      </w:pPr>
    </w:p>
    <w:p w:rsidR="00CC286C" w:rsidRPr="00CC286C" w:rsidRDefault="00CC286C" w:rsidP="00CC286C">
      <w:pPr>
        <w:spacing w:after="0" w:line="200" w:lineRule="exact"/>
        <w:rPr>
          <w:rFonts w:ascii="Arial" w:eastAsia="Arial" w:hAnsi="Arial" w:cs="Arial"/>
          <w:b/>
          <w:i/>
          <w:sz w:val="20"/>
          <w:szCs w:val="20"/>
          <w:lang w:val="en"/>
        </w:rPr>
      </w:pPr>
    </w:p>
    <w:p w:rsidR="00CC286C" w:rsidRPr="00E5174D" w:rsidRDefault="00CC286C" w:rsidP="00CC28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CC28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CC28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CC28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CC28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CC28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CC286C" w:rsidRDefault="00F64373" w:rsidP="00CC28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CC286C" w:rsidRPr="00CC286C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References:</w:t>
      </w: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Banerjee P., Eckert O.A., Schrey A.K., Preissner R.: ProTox-II: a webserver for the prediction of toxicity of chemicals. Nucleic Acids Res (Web server issue 2018); NAR</w:t>
      </w: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Banerjee P , Dehnbostel F.O and Preissner R : Prediction is a Balancing Act: Importance of Sampling Methods to Balance Sensitivity and Specificity of Predictive Models based on Imbalanced Chemical Data Sets Front. Chem</w:t>
      </w: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Drwal M.N., Banerjee P., Dunkel M., Wettig M.R., Preissner R.: ProTox: a web server for the in silico prediction of rodent oral toxicity Nucleic Acids Res (Web server issue 2014); NAR</w:t>
      </w: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S. Kim, W. Lee, G. Bae, and Y. Kee, “Anti-diabetic and hypolipidemic effects of Sargassum yezoense in db/db mice,”Biochem. Biophys. Res. Commun., vol. 424, no. 4, pp. 675–680,</w:t>
      </w: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2012.</w:t>
      </w: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B. Park et al., “Anti-platelet Aggregation and Anti-thrombotic Effects of Marine Natural Products Sargahydroquinoic Acid and Sargaquinoic Acid,” Bull. Korean Chem. Soc., vol. 34, no. 10, pp. 3121–3124, 2013.</w:t>
      </w:r>
    </w:p>
    <w:p w:rsidR="00F64373" w:rsidRPr="00E5174D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Molegro, “</w:t>
      </w:r>
    </w:p>
    <w:p w:rsidR="00CC286C" w:rsidRPr="00CC286C" w:rsidRDefault="00F64373" w:rsidP="00F6437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d"/>
        </w:rPr>
      </w:pPr>
      <w:r w:rsidRPr="00E5174D">
        <w:rPr>
          <w:rFonts w:ascii="Arial" w:eastAsia="Times New Roman" w:hAnsi="Arial" w:cs="Arial"/>
          <w:sz w:val="20"/>
          <w:szCs w:val="20"/>
          <w:lang w:val="id"/>
        </w:rPr>
        <w:t>Chan, H.C.S., Shan, H., Dahoun, T., Vogel, H., Yuan, S., 2019. Advancing Drug Discovery via Artificial Intelligence. Trends in Pharmacological Sciences 40, 592–604. https://doi.org/10.1016/j.tips.2019.06.004</w:t>
      </w:r>
    </w:p>
    <w:p w:rsidR="000C2C65" w:rsidRPr="00E5174D" w:rsidRDefault="000C2C65">
      <w:pPr>
        <w:rPr>
          <w:rFonts w:ascii="Arial" w:hAnsi="Arial" w:cs="Arial"/>
          <w:sz w:val="20"/>
          <w:szCs w:val="20"/>
        </w:rPr>
      </w:pPr>
    </w:p>
    <w:sectPr w:rsidR="000C2C65" w:rsidRPr="00E51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C"/>
    <w:rsid w:val="000506C7"/>
    <w:rsid w:val="00060AAC"/>
    <w:rsid w:val="000C2C65"/>
    <w:rsid w:val="001D505A"/>
    <w:rsid w:val="00260852"/>
    <w:rsid w:val="005124DA"/>
    <w:rsid w:val="00524C94"/>
    <w:rsid w:val="00812E12"/>
    <w:rsid w:val="00C709A8"/>
    <w:rsid w:val="00CC286C"/>
    <w:rsid w:val="00CD0809"/>
    <w:rsid w:val="00CF5E4F"/>
    <w:rsid w:val="00DE5307"/>
    <w:rsid w:val="00E5174D"/>
    <w:rsid w:val="00F64373"/>
    <w:rsid w:val="00FA5712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6EA0"/>
  <w15:chartTrackingRefBased/>
  <w15:docId w15:val="{CCC9A698-ACBE-4570-8D58-3408416E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a.nursan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6</cp:revision>
  <dcterms:created xsi:type="dcterms:W3CDTF">2025-05-30T13:30:00Z</dcterms:created>
  <dcterms:modified xsi:type="dcterms:W3CDTF">2025-05-30T13:51:00Z</dcterms:modified>
</cp:coreProperties>
</file>