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C542" w14:textId="77777777" w:rsidR="00F36602" w:rsidRDefault="00F36602" w:rsidP="00C315D2">
      <w:pPr>
        <w:spacing w:after="0" w:line="240" w:lineRule="auto"/>
        <w:rPr>
          <w:rFonts w:ascii="Arial" w:eastAsia="Calibri" w:hAnsi="Arial" w:cs="Calibri"/>
          <w:b/>
          <w:bCs/>
          <w:kern w:val="0"/>
          <w:lang w:val="vi-VN"/>
          <w14:ligatures w14:val="none"/>
        </w:rPr>
      </w:pPr>
      <w:r w:rsidRPr="00F36602">
        <w:rPr>
          <w:rFonts w:ascii="Arial" w:eastAsia="Calibri" w:hAnsi="Arial" w:cs="Calibri"/>
          <w:b/>
          <w:bCs/>
          <w:kern w:val="0"/>
          <w14:ligatures w14:val="none"/>
        </w:rPr>
        <w:t xml:space="preserve">Integrative Pharmacogenomics and Structural Equation </w:t>
      </w:r>
      <w:proofErr w:type="spellStart"/>
      <w:r w:rsidRPr="00F36602">
        <w:rPr>
          <w:rFonts w:ascii="Arial" w:eastAsia="Calibri" w:hAnsi="Arial" w:cs="Calibri"/>
          <w:b/>
          <w:bCs/>
          <w:kern w:val="0"/>
          <w14:ligatures w14:val="none"/>
        </w:rPr>
        <w:t>Modeling</w:t>
      </w:r>
      <w:proofErr w:type="spellEnd"/>
      <w:r w:rsidRPr="00F36602">
        <w:rPr>
          <w:rFonts w:ascii="Arial" w:eastAsia="Calibri" w:hAnsi="Arial" w:cs="Calibri"/>
          <w:b/>
          <w:bCs/>
          <w:kern w:val="0"/>
          <w14:ligatures w14:val="none"/>
        </w:rPr>
        <w:t xml:space="preserve"> Reveal Genetic Determinants of DOAC Therapy</w:t>
      </w:r>
    </w:p>
    <w:p w14:paraId="79141BD9" w14:textId="4499A1BA" w:rsidR="00C315D2" w:rsidRPr="00F36602" w:rsidRDefault="00F36602" w:rsidP="00C315D2">
      <w:pPr>
        <w:spacing w:after="0" w:line="240" w:lineRule="auto"/>
        <w:rPr>
          <w:rFonts w:ascii="Arial" w:eastAsia="Calibri" w:hAnsi="Arial" w:cs="Calibri"/>
          <w:bCs/>
          <w:kern w:val="0"/>
          <w:sz w:val="20"/>
          <w:szCs w:val="20"/>
          <w:lang w:val="vi-VN"/>
          <w14:ligatures w14:val="none"/>
        </w:rPr>
      </w:pPr>
      <w:proofErr w:type="spellStart"/>
      <w:r>
        <w:rPr>
          <w:rFonts w:ascii="Arial" w:eastAsia="Calibri" w:hAnsi="Arial" w:cs="Calibri"/>
          <w:b/>
          <w:kern w:val="0"/>
          <w:sz w:val="20"/>
          <w:szCs w:val="20"/>
          <w:u w:val="single"/>
          <w14:ligatures w14:val="none"/>
        </w:rPr>
        <w:t>Thi</w:t>
      </w:r>
      <w:proofErr w:type="spellEnd"/>
      <w:r>
        <w:rPr>
          <w:rFonts w:ascii="Arial" w:eastAsia="Calibri" w:hAnsi="Arial" w:cs="Calibri"/>
          <w:b/>
          <w:kern w:val="0"/>
          <w:sz w:val="20"/>
          <w:szCs w:val="20"/>
          <w:u w:val="single"/>
          <w:lang w:val="vi-VN"/>
          <w14:ligatures w14:val="none"/>
        </w:rPr>
        <w:t xml:space="preserve">-Phuong-Thao Pham </w:t>
      </w:r>
      <w:r w:rsidRPr="00F36602">
        <w:rPr>
          <w:rFonts w:ascii="Arial" w:eastAsia="Calibri" w:hAnsi="Arial" w:cs="Calibri"/>
          <w:b/>
          <w:kern w:val="0"/>
          <w:sz w:val="20"/>
          <w:szCs w:val="20"/>
          <w:u w:val="single"/>
          <w:vertAlign w:val="superscript"/>
          <w:lang w:val="vi-VN"/>
          <w14:ligatures w14:val="none"/>
        </w:rPr>
        <w:t>1</w:t>
      </w:r>
      <w:r>
        <w:rPr>
          <w:rFonts w:ascii="Arial" w:eastAsia="Calibri" w:hAnsi="Arial" w:cs="Calibri"/>
          <w:b/>
          <w:kern w:val="0"/>
          <w:sz w:val="20"/>
          <w:szCs w:val="20"/>
          <w:u w:val="single"/>
          <w:lang w:val="vi-VN"/>
          <w14:ligatures w14:val="none"/>
        </w:rPr>
        <w:t xml:space="preserve">, </w:t>
      </w:r>
      <w:r w:rsidRPr="00F36602">
        <w:rPr>
          <w:rFonts w:ascii="Arial" w:eastAsia="Calibri" w:hAnsi="Arial" w:cs="Calibri"/>
          <w:bCs/>
          <w:kern w:val="0"/>
          <w:sz w:val="20"/>
          <w:szCs w:val="20"/>
          <w:lang w:val="vi-VN"/>
          <w14:ligatures w14:val="none"/>
        </w:rPr>
        <w:t>Hai-Anh Ha</w:t>
      </w:r>
      <w:r>
        <w:rPr>
          <w:rFonts w:ascii="Arial" w:eastAsia="Calibri" w:hAnsi="Arial" w:cs="Calibri"/>
          <w:bCs/>
          <w:kern w:val="0"/>
          <w:sz w:val="20"/>
          <w:szCs w:val="20"/>
          <w:lang w:val="vi-VN"/>
          <w14:ligatures w14:val="none"/>
        </w:rPr>
        <w:t xml:space="preserve"> </w:t>
      </w:r>
      <w:r w:rsidRPr="00F36602">
        <w:rPr>
          <w:rFonts w:ascii="Arial" w:eastAsia="Calibri" w:hAnsi="Arial" w:cs="Calibri"/>
          <w:b/>
          <w:kern w:val="0"/>
          <w:sz w:val="20"/>
          <w:szCs w:val="20"/>
          <w:vertAlign w:val="superscript"/>
          <w:lang w:val="vi-VN"/>
          <w14:ligatures w14:val="none"/>
        </w:rPr>
        <w:t>2</w:t>
      </w:r>
      <w:r w:rsidRPr="00F36602">
        <w:rPr>
          <w:rFonts w:ascii="Arial" w:eastAsia="Calibri" w:hAnsi="Arial" w:cs="Calibri"/>
          <w:bCs/>
          <w:kern w:val="0"/>
          <w:sz w:val="20"/>
          <w:szCs w:val="20"/>
          <w:lang w:val="vi-VN"/>
          <w14:ligatures w14:val="none"/>
        </w:rPr>
        <w:t>, Chin-Chuan Hung</w:t>
      </w:r>
      <w:r>
        <w:rPr>
          <w:rFonts w:ascii="Arial" w:eastAsia="Calibri" w:hAnsi="Arial" w:cs="Calibri"/>
          <w:bCs/>
          <w:kern w:val="0"/>
          <w:sz w:val="20"/>
          <w:szCs w:val="20"/>
          <w:lang w:val="vi-VN"/>
          <w14:ligatures w14:val="none"/>
        </w:rPr>
        <w:t xml:space="preserve"> </w:t>
      </w:r>
      <w:r w:rsidR="00F86C30" w:rsidRPr="00F86C30">
        <w:rPr>
          <w:rFonts w:ascii="Arial" w:eastAsia="Calibri" w:hAnsi="Arial" w:cs="Calibri"/>
          <w:b/>
          <w:kern w:val="0"/>
          <w:sz w:val="20"/>
          <w:szCs w:val="20"/>
          <w:vertAlign w:val="superscript"/>
          <w:lang w:val="vi-VN"/>
          <w14:ligatures w14:val="none"/>
        </w:rPr>
        <w:t>1,</w:t>
      </w:r>
      <w:r w:rsidRPr="00F36602">
        <w:rPr>
          <w:rFonts w:ascii="Arial" w:eastAsia="Calibri" w:hAnsi="Arial" w:cs="Calibri"/>
          <w:b/>
          <w:kern w:val="0"/>
          <w:sz w:val="20"/>
          <w:szCs w:val="20"/>
          <w:vertAlign w:val="superscript"/>
          <w:lang w:val="vi-VN"/>
          <w14:ligatures w14:val="none"/>
        </w:rPr>
        <w:t>3</w:t>
      </w:r>
    </w:p>
    <w:p w14:paraId="137D4547" w14:textId="4A587073" w:rsidR="00C315D2" w:rsidRPr="00F86C30" w:rsidRDefault="00F36602" w:rsidP="008A7976">
      <w:pPr>
        <w:spacing w:after="0" w:line="240" w:lineRule="auto"/>
        <w:rPr>
          <w:rFonts w:ascii="Arial" w:eastAsia="Times New Roman" w:hAnsi="Arial" w:cs="Arial"/>
          <w:kern w:val="0"/>
          <w:sz w:val="20"/>
          <w:szCs w:val="20"/>
          <w:lang w:val="vi-VN"/>
          <w14:ligatures w14:val="none"/>
        </w:rPr>
      </w:pPr>
      <w:r w:rsidRPr="00F86C30">
        <w:rPr>
          <w:rFonts w:ascii="Arial" w:eastAsia="Times New Roman" w:hAnsi="Arial" w:cs="Arial"/>
          <w:b/>
          <w:bCs/>
          <w:kern w:val="0"/>
          <w:sz w:val="20"/>
          <w:szCs w:val="20"/>
          <w:vertAlign w:val="superscript"/>
          <w:lang w:val="en-US"/>
          <w14:ligatures w14:val="none"/>
        </w:rPr>
        <w:t>1</w:t>
      </w:r>
      <w:r w:rsidRPr="00F86C30">
        <w:rPr>
          <w:rFonts w:ascii="Arial" w:eastAsia="Times New Roman" w:hAnsi="Arial" w:cs="Arial"/>
          <w:b/>
          <w:bCs/>
          <w:kern w:val="0"/>
          <w:sz w:val="20"/>
          <w:szCs w:val="20"/>
          <w:vertAlign w:val="superscript"/>
          <w14:ligatures w14:val="none"/>
        </w:rPr>
        <w:t xml:space="preserve"> </w:t>
      </w:r>
      <w:r w:rsidRPr="00F86C30">
        <w:rPr>
          <w:rFonts w:ascii="Arial" w:eastAsia="Times New Roman" w:hAnsi="Arial" w:cs="Arial"/>
          <w:kern w:val="0"/>
          <w:sz w:val="20"/>
          <w:szCs w:val="20"/>
          <w:lang w:val="en-US"/>
          <w14:ligatures w14:val="none"/>
        </w:rPr>
        <w:t xml:space="preserve">Department of Pharmacy, College of Pharmacy, China Medical University, Taichung, 406040, </w:t>
      </w:r>
      <w:r w:rsidR="00F86C30">
        <w:rPr>
          <w:rFonts w:ascii="Arial" w:eastAsia="Times New Roman" w:hAnsi="Arial" w:cs="Arial"/>
          <w:kern w:val="0"/>
          <w:sz w:val="20"/>
          <w:szCs w:val="20"/>
          <w:lang w:val="en-US"/>
          <w14:ligatures w14:val="none"/>
        </w:rPr>
        <w:t>Taiwan</w:t>
      </w:r>
      <w:r w:rsidR="00F86C30">
        <w:rPr>
          <w:rFonts w:ascii="Arial" w:eastAsia="Times New Roman" w:hAnsi="Arial" w:cs="Arial"/>
          <w:kern w:val="0"/>
          <w:sz w:val="20"/>
          <w:szCs w:val="20"/>
          <w:lang w:val="vi-VN"/>
          <w14:ligatures w14:val="none"/>
        </w:rPr>
        <w:t>.</w:t>
      </w:r>
    </w:p>
    <w:p w14:paraId="24CED652" w14:textId="291B76A4" w:rsidR="00F36602" w:rsidRPr="00F86C30" w:rsidRDefault="00F36602" w:rsidP="008A7976">
      <w:pPr>
        <w:spacing w:after="0" w:line="240" w:lineRule="auto"/>
        <w:rPr>
          <w:rFonts w:ascii="Arial" w:eastAsia="Times New Roman" w:hAnsi="Arial" w:cs="Arial"/>
          <w:kern w:val="0"/>
          <w:sz w:val="20"/>
          <w:szCs w:val="20"/>
          <w:lang w:val="vi-VN"/>
          <w14:ligatures w14:val="none"/>
        </w:rPr>
      </w:pPr>
      <w:r w:rsidRPr="00F86C30">
        <w:rPr>
          <w:rFonts w:ascii="Arial" w:eastAsia="Times New Roman" w:hAnsi="Arial" w:cs="Arial"/>
          <w:b/>
          <w:bCs/>
          <w:kern w:val="0"/>
          <w:sz w:val="20"/>
          <w:szCs w:val="20"/>
          <w:vertAlign w:val="superscript"/>
          <w:lang w:val="en-US"/>
          <w14:ligatures w14:val="none"/>
        </w:rPr>
        <w:t>2</w:t>
      </w:r>
      <w:r w:rsidRPr="00F86C30">
        <w:rPr>
          <w:rFonts w:ascii="Arial" w:eastAsia="Times New Roman" w:hAnsi="Arial" w:cs="Arial"/>
          <w:kern w:val="0"/>
          <w:sz w:val="20"/>
          <w:szCs w:val="20"/>
          <w:vertAlign w:val="superscript"/>
          <w:lang w:val="en-US"/>
          <w14:ligatures w14:val="none"/>
        </w:rPr>
        <w:t xml:space="preserve"> </w:t>
      </w:r>
      <w:r w:rsidRPr="00F86C30">
        <w:rPr>
          <w:rFonts w:ascii="Arial" w:eastAsia="Times New Roman" w:hAnsi="Arial" w:cs="Arial"/>
          <w:kern w:val="0"/>
          <w:sz w:val="20"/>
          <w:szCs w:val="20"/>
          <w:lang w:val="en-US"/>
          <w14:ligatures w14:val="none"/>
        </w:rPr>
        <w:t>Faculty of Pharmacy, school</w:t>
      </w:r>
      <w:r w:rsidRPr="00F86C30">
        <w:rPr>
          <w:rFonts w:ascii="Arial" w:eastAsia="Times New Roman" w:hAnsi="Arial" w:cs="Arial"/>
          <w:kern w:val="0"/>
          <w:sz w:val="20"/>
          <w:szCs w:val="20"/>
          <w14:ligatures w14:val="none"/>
        </w:rPr>
        <w:t xml:space="preserve"> </w:t>
      </w:r>
      <w:r w:rsidRPr="00F86C30">
        <w:rPr>
          <w:rFonts w:ascii="Arial" w:eastAsia="Times New Roman" w:hAnsi="Arial" w:cs="Arial"/>
          <w:kern w:val="0"/>
          <w:sz w:val="20"/>
          <w:szCs w:val="20"/>
          <w:lang w:val="en-US"/>
          <w14:ligatures w14:val="none"/>
        </w:rPr>
        <w:t>of Medicine and Pharmacy, Duy Tan University, Danang</w:t>
      </w:r>
      <w:r w:rsidRPr="00F86C30">
        <w:rPr>
          <w:rFonts w:ascii="Arial" w:eastAsia="Times New Roman" w:hAnsi="Arial" w:cs="Arial"/>
          <w:kern w:val="0"/>
          <w:sz w:val="20"/>
          <w:szCs w:val="20"/>
          <w14:ligatures w14:val="none"/>
        </w:rPr>
        <w:t xml:space="preserve"> </w:t>
      </w:r>
      <w:r w:rsidRPr="00F86C30">
        <w:rPr>
          <w:rFonts w:ascii="Arial" w:eastAsia="Times New Roman" w:hAnsi="Arial" w:cs="Arial"/>
          <w:kern w:val="0"/>
          <w:sz w:val="20"/>
          <w:szCs w:val="20"/>
          <w:lang w:val="en-US"/>
          <w14:ligatures w14:val="none"/>
        </w:rPr>
        <w:t xml:space="preserve">550000, </w:t>
      </w:r>
      <w:r w:rsidR="00F86C30">
        <w:rPr>
          <w:rFonts w:ascii="Arial" w:eastAsia="Times New Roman" w:hAnsi="Arial" w:cs="Arial"/>
          <w:kern w:val="0"/>
          <w:sz w:val="20"/>
          <w:szCs w:val="20"/>
          <w:lang w:val="en-US"/>
          <w14:ligatures w14:val="none"/>
        </w:rPr>
        <w:t>Vietnam</w:t>
      </w:r>
      <w:r w:rsidR="00F86C30">
        <w:rPr>
          <w:rFonts w:ascii="Arial" w:eastAsia="Times New Roman" w:hAnsi="Arial" w:cs="Arial"/>
          <w:kern w:val="0"/>
          <w:sz w:val="20"/>
          <w:szCs w:val="20"/>
          <w:lang w:val="vi-VN"/>
          <w14:ligatures w14:val="none"/>
        </w:rPr>
        <w:t>.</w:t>
      </w:r>
    </w:p>
    <w:p w14:paraId="6C08B5A5" w14:textId="3BDC15B8" w:rsidR="00F36602" w:rsidRPr="00F86C30" w:rsidRDefault="00F36602" w:rsidP="008A7976">
      <w:pPr>
        <w:spacing w:after="0" w:line="240" w:lineRule="auto"/>
        <w:rPr>
          <w:rFonts w:ascii="Arial" w:eastAsia="Times New Roman" w:hAnsi="Arial" w:cs="Arial"/>
          <w:kern w:val="0"/>
          <w:sz w:val="20"/>
          <w:szCs w:val="20"/>
          <w:lang w:val="vi-VN"/>
          <w14:ligatures w14:val="none"/>
        </w:rPr>
      </w:pPr>
      <w:r w:rsidRPr="00F86C30">
        <w:rPr>
          <w:rFonts w:ascii="Arial" w:eastAsia="Times New Roman" w:hAnsi="Arial" w:cs="Arial"/>
          <w:b/>
          <w:bCs/>
          <w:kern w:val="0"/>
          <w:sz w:val="20"/>
          <w:szCs w:val="20"/>
          <w:vertAlign w:val="superscript"/>
          <w:lang w:val="en-US"/>
          <w14:ligatures w14:val="none"/>
        </w:rPr>
        <w:t>3</w:t>
      </w:r>
      <w:r w:rsidRPr="00F86C30">
        <w:rPr>
          <w:rFonts w:ascii="Arial" w:eastAsia="Times New Roman" w:hAnsi="Arial" w:cs="Arial"/>
          <w:b/>
          <w:bCs/>
          <w:kern w:val="0"/>
          <w:sz w:val="20"/>
          <w:szCs w:val="20"/>
          <w:vertAlign w:val="superscript"/>
          <w14:ligatures w14:val="none"/>
        </w:rPr>
        <w:t xml:space="preserve"> </w:t>
      </w:r>
      <w:r w:rsidRPr="00F86C30">
        <w:rPr>
          <w:rFonts w:ascii="Arial" w:eastAsia="Times New Roman" w:hAnsi="Arial" w:cs="Arial"/>
          <w:kern w:val="0"/>
          <w:sz w:val="20"/>
          <w:szCs w:val="20"/>
          <w:lang w:val="en-US"/>
          <w14:ligatures w14:val="none"/>
        </w:rPr>
        <w:t>Department of Pharmacy, China Medical University Hospital, Taichung, 404332, Taiwan</w:t>
      </w:r>
      <w:r w:rsidRPr="00F86C30">
        <w:rPr>
          <w:rFonts w:ascii="Arial" w:eastAsia="Times New Roman" w:hAnsi="Arial" w:cs="Arial"/>
          <w:kern w:val="0"/>
          <w:sz w:val="20"/>
          <w:szCs w:val="20"/>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15D93483" w14:textId="37818714" w:rsidR="00C315D2" w:rsidRPr="002F7385" w:rsidRDefault="00B8473A" w:rsidP="00C315D2">
      <w:pPr>
        <w:spacing w:after="0" w:line="240" w:lineRule="auto"/>
        <w:jc w:val="both"/>
        <w:rPr>
          <w:rFonts w:ascii="Arial" w:eastAsia="Calibri" w:hAnsi="Arial" w:cs="Calibri"/>
          <w:bCs/>
          <w:kern w:val="0"/>
          <w:sz w:val="20"/>
          <w:szCs w:val="20"/>
          <w:lang w:val="vi-VN"/>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5656C5" w:rsidRPr="005656C5">
        <w:rPr>
          <w:rFonts w:ascii="Arial" w:eastAsia="Calibri" w:hAnsi="Arial" w:cs="Calibri"/>
          <w:bCs/>
          <w:kern w:val="0"/>
          <w:sz w:val="20"/>
          <w:szCs w:val="20"/>
          <w14:ligatures w14:val="none"/>
        </w:rPr>
        <w:t>Genetic variability plays a critical role in determining the pharmacokinetics and clinical efficacy of direct oral anticoagulants (DOACs), yet pharmacogenomic guidance is still lacking in clinical practice. This study systematically evaluates how specific gene polymorphisms influence DOAC therapy, aiming to advance precision medicine in anticoagulation.</w:t>
      </w:r>
    </w:p>
    <w:p w14:paraId="3D16908F" w14:textId="77777777" w:rsidR="002F7385" w:rsidRDefault="002F7385" w:rsidP="00C315D2">
      <w:pPr>
        <w:spacing w:after="0" w:line="240" w:lineRule="auto"/>
        <w:jc w:val="both"/>
        <w:rPr>
          <w:rFonts w:ascii="Arial" w:eastAsia="Calibri" w:hAnsi="Arial" w:cs="Calibri"/>
          <w:b/>
          <w:kern w:val="0"/>
          <w:sz w:val="20"/>
          <w:szCs w:val="20"/>
          <w:lang w:val="vi-VN"/>
          <w14:ligatures w14:val="none"/>
        </w:rPr>
      </w:pPr>
    </w:p>
    <w:p w14:paraId="1387B9C3" w14:textId="030A4C1C" w:rsidR="00C315D2" w:rsidRPr="002F7385" w:rsidRDefault="00C315D2" w:rsidP="00C315D2">
      <w:pPr>
        <w:spacing w:after="0" w:line="240" w:lineRule="auto"/>
        <w:jc w:val="both"/>
        <w:rPr>
          <w:rFonts w:ascii="Arial" w:eastAsia="Calibri" w:hAnsi="Arial" w:cs="Calibri"/>
          <w:bCs/>
          <w:kern w:val="0"/>
          <w:sz w:val="20"/>
          <w:szCs w:val="20"/>
          <w:lang w:val="vi-VN"/>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5656C5" w:rsidRPr="005656C5">
        <w:rPr>
          <w:rFonts w:ascii="Arial" w:eastAsia="Calibri" w:hAnsi="Arial" w:cs="Calibri"/>
          <w:bCs/>
          <w:kern w:val="0"/>
          <w:sz w:val="20"/>
          <w:szCs w:val="20"/>
          <w14:ligatures w14:val="none"/>
        </w:rPr>
        <w:t xml:space="preserve">A systematic review adhering to PRISMA-2020 guidelines (PROSPERO ID: CRD42024592412) </w:t>
      </w:r>
      <w:r w:rsidR="005E66D2" w:rsidRPr="005656C5">
        <w:rPr>
          <w:rFonts w:ascii="Arial" w:eastAsia="Calibri" w:hAnsi="Arial" w:cs="Calibri"/>
          <w:bCs/>
          <w:kern w:val="0"/>
          <w:sz w:val="20"/>
          <w:szCs w:val="20"/>
          <w14:ligatures w14:val="none"/>
        </w:rPr>
        <w:t>analysed</w:t>
      </w:r>
      <w:r w:rsidR="005656C5" w:rsidRPr="005656C5">
        <w:rPr>
          <w:rFonts w:ascii="Arial" w:eastAsia="Calibri" w:hAnsi="Arial" w:cs="Calibri"/>
          <w:bCs/>
          <w:kern w:val="0"/>
          <w:sz w:val="20"/>
          <w:szCs w:val="20"/>
          <w14:ligatures w14:val="none"/>
        </w:rPr>
        <w:t xml:space="preserve"> 31 studies. Structural Equation </w:t>
      </w:r>
      <w:r w:rsidR="005E66D2" w:rsidRPr="005656C5">
        <w:rPr>
          <w:rFonts w:ascii="Arial" w:eastAsia="Calibri" w:hAnsi="Arial" w:cs="Calibri"/>
          <w:bCs/>
          <w:kern w:val="0"/>
          <w:sz w:val="20"/>
          <w:szCs w:val="20"/>
          <w14:ligatures w14:val="none"/>
        </w:rPr>
        <w:t>Modelling</w:t>
      </w:r>
      <w:r w:rsidR="005656C5" w:rsidRPr="005656C5">
        <w:rPr>
          <w:rFonts w:ascii="Arial" w:eastAsia="Calibri" w:hAnsi="Arial" w:cs="Calibri"/>
          <w:bCs/>
          <w:kern w:val="0"/>
          <w:sz w:val="20"/>
          <w:szCs w:val="20"/>
          <w14:ligatures w14:val="none"/>
        </w:rPr>
        <w:t xml:space="preserve"> (SEM) in R Studio (v2024.12) was used to examine genetic variants related to DOAC pharmacokinetics and treatment outcomes. PCA clustering further strengthened the analysis</w:t>
      </w:r>
      <w:r w:rsidRPr="00C315D2">
        <w:rPr>
          <w:rFonts w:ascii="Arial" w:eastAsia="Calibri" w:hAnsi="Arial" w:cs="Calibri"/>
          <w:bCs/>
          <w:kern w:val="0"/>
          <w:sz w:val="20"/>
          <w:szCs w:val="20"/>
          <w14:ligatures w14:val="none"/>
        </w:rPr>
        <w:t xml:space="preserve">. </w:t>
      </w:r>
    </w:p>
    <w:p w14:paraId="196CEE9A" w14:textId="77777777" w:rsidR="002F7385" w:rsidRDefault="002F7385" w:rsidP="2021B9E9">
      <w:pPr>
        <w:spacing w:after="0" w:line="240" w:lineRule="auto"/>
        <w:jc w:val="both"/>
        <w:rPr>
          <w:rFonts w:ascii="Arial" w:eastAsia="Calibri" w:hAnsi="Arial" w:cs="Calibri"/>
          <w:b/>
          <w:bCs/>
          <w:kern w:val="0"/>
          <w:sz w:val="20"/>
          <w:szCs w:val="20"/>
          <w:lang w:val="vi-VN"/>
          <w14:ligatures w14:val="none"/>
        </w:rPr>
      </w:pPr>
    </w:p>
    <w:p w14:paraId="777A9E0F" w14:textId="4AF90FFE" w:rsidR="2021B9E9" w:rsidRDefault="00795378" w:rsidP="2021B9E9">
      <w:pPr>
        <w:spacing w:after="0" w:line="240" w:lineRule="auto"/>
        <w:jc w:val="both"/>
        <w:rPr>
          <w:rFonts w:ascii="Arial" w:eastAsia="Calibri" w:hAnsi="Arial" w:cs="Calibri"/>
          <w:kern w:val="0"/>
          <w:sz w:val="20"/>
          <w:szCs w:val="20"/>
          <w:lang w:val="vi-VN"/>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32628F">
        <w:rPr>
          <w:rFonts w:ascii="Arial" w:eastAsia="Calibri" w:hAnsi="Arial" w:cs="Calibri"/>
          <w:kern w:val="0"/>
          <w:sz w:val="20"/>
          <w:szCs w:val="20"/>
          <w14:ligatures w14:val="none"/>
        </w:rPr>
        <w:t>SEM</w:t>
      </w:r>
      <w:r w:rsidR="0032628F">
        <w:rPr>
          <w:rFonts w:ascii="Arial" w:eastAsia="Calibri" w:hAnsi="Arial" w:cs="Calibri"/>
          <w:kern w:val="0"/>
          <w:sz w:val="20"/>
          <w:szCs w:val="20"/>
          <w:lang w:val="vi-VN"/>
          <w14:ligatures w14:val="none"/>
        </w:rPr>
        <w:t xml:space="preserve"> </w:t>
      </w:r>
      <w:r w:rsidR="005E66D2">
        <w:rPr>
          <w:rFonts w:ascii="Arial" w:eastAsia="Calibri" w:hAnsi="Arial" w:cs="Calibri"/>
          <w:kern w:val="0"/>
          <w:sz w:val="20"/>
          <w:szCs w:val="20"/>
          <w:lang w:val="vi-VN"/>
          <w14:ligatures w14:val="none"/>
        </w:rPr>
        <w:t xml:space="preserve">result </w:t>
      </w:r>
      <w:r w:rsidR="00C81DB8">
        <w:rPr>
          <w:rFonts w:ascii="Arial" w:eastAsia="Calibri" w:hAnsi="Arial" w:cs="Calibri"/>
          <w:kern w:val="0"/>
          <w:sz w:val="20"/>
          <w:szCs w:val="20"/>
          <w:lang w:val="vi-VN"/>
          <w14:ligatures w14:val="none"/>
        </w:rPr>
        <w:t xml:space="preserve">(see </w:t>
      </w:r>
      <w:r w:rsidR="00C81DB8" w:rsidRPr="00C81DB8">
        <w:rPr>
          <w:rFonts w:ascii="Arial" w:eastAsia="Calibri" w:hAnsi="Arial" w:cs="Calibri"/>
          <w:b/>
          <w:bCs/>
          <w:kern w:val="0"/>
          <w:sz w:val="20"/>
          <w:szCs w:val="20"/>
          <w:lang w:val="vi-VN"/>
          <w14:ligatures w14:val="none"/>
        </w:rPr>
        <w:t>Figure 1</w:t>
      </w:r>
      <w:r w:rsidR="00C81DB8">
        <w:rPr>
          <w:rFonts w:ascii="Arial" w:eastAsia="Calibri" w:hAnsi="Arial" w:cs="Calibri"/>
          <w:kern w:val="0"/>
          <w:sz w:val="20"/>
          <w:szCs w:val="20"/>
          <w:lang w:val="vi-VN"/>
          <w14:ligatures w14:val="none"/>
        </w:rPr>
        <w:t xml:space="preserve">) </w:t>
      </w:r>
      <w:r w:rsidR="005656C5" w:rsidRPr="005656C5">
        <w:rPr>
          <w:rFonts w:ascii="Arial" w:eastAsia="Calibri" w:hAnsi="Arial" w:cs="Calibri"/>
          <w:kern w:val="0"/>
          <w:sz w:val="20"/>
          <w:szCs w:val="20"/>
          <w14:ligatures w14:val="none"/>
        </w:rPr>
        <w:t>revealed that genetic factors positively influenced drug concentration dynamics (β = 0.24), which in turn strongly impacted clinical outcomes (β = 1.10), while higher drug exposure (</w:t>
      </w:r>
      <w:proofErr w:type="spellStart"/>
      <w:r w:rsidR="005656C5" w:rsidRPr="005656C5">
        <w:rPr>
          <w:rFonts w:ascii="Arial" w:eastAsia="Calibri" w:hAnsi="Arial" w:cs="Calibri"/>
          <w:kern w:val="0"/>
          <w:sz w:val="20"/>
          <w:szCs w:val="20"/>
          <w14:ligatures w14:val="none"/>
        </w:rPr>
        <w:t>Cmax</w:t>
      </w:r>
      <w:proofErr w:type="spellEnd"/>
      <w:r w:rsidR="005656C5" w:rsidRPr="005656C5">
        <w:rPr>
          <w:rFonts w:ascii="Arial" w:eastAsia="Calibri" w:hAnsi="Arial" w:cs="Calibri"/>
          <w:kern w:val="0"/>
          <w:sz w:val="20"/>
          <w:szCs w:val="20"/>
          <w14:ligatures w14:val="none"/>
        </w:rPr>
        <w:t>/</w:t>
      </w:r>
      <w:proofErr w:type="spellStart"/>
      <w:r w:rsidR="005656C5" w:rsidRPr="005656C5">
        <w:rPr>
          <w:rFonts w:ascii="Arial" w:eastAsia="Calibri" w:hAnsi="Arial" w:cs="Calibri"/>
          <w:kern w:val="0"/>
          <w:sz w:val="20"/>
          <w:szCs w:val="20"/>
          <w14:ligatures w14:val="none"/>
        </w:rPr>
        <w:t>Cmin</w:t>
      </w:r>
      <w:proofErr w:type="spellEnd"/>
      <w:r w:rsidR="005656C5" w:rsidRPr="005656C5">
        <w:rPr>
          <w:rFonts w:ascii="Arial" w:eastAsia="Calibri" w:hAnsi="Arial" w:cs="Calibri"/>
          <w:kern w:val="0"/>
          <w:sz w:val="20"/>
          <w:szCs w:val="20"/>
          <w14:ligatures w14:val="none"/>
        </w:rPr>
        <w:t xml:space="preserve">) was associated with increased bleeding risk (β = 1.00), and gene variants were inversely related to ischemic stroke (β = –0.17). The </w:t>
      </w:r>
      <w:r w:rsidR="005E66D2" w:rsidRPr="005656C5">
        <w:rPr>
          <w:rFonts w:ascii="Arial" w:eastAsia="Calibri" w:hAnsi="Arial" w:cs="Calibri"/>
          <w:bCs/>
          <w:kern w:val="0"/>
          <w:sz w:val="20"/>
          <w:szCs w:val="20"/>
          <w14:ligatures w14:val="none"/>
        </w:rPr>
        <w:t xml:space="preserve">structural equation </w:t>
      </w:r>
      <w:r w:rsidR="005656C5" w:rsidRPr="005656C5">
        <w:rPr>
          <w:rFonts w:ascii="Arial" w:eastAsia="Calibri" w:hAnsi="Arial" w:cs="Calibri"/>
          <w:kern w:val="0"/>
          <w:sz w:val="20"/>
          <w:szCs w:val="20"/>
          <w14:ligatures w14:val="none"/>
        </w:rPr>
        <w:t>model demonstrated high fit (CFI = 0.997, RMSEA = 0.</w:t>
      </w:r>
      <w:r w:rsidR="005656C5">
        <w:rPr>
          <w:rFonts w:ascii="Arial" w:eastAsia="Calibri" w:hAnsi="Arial" w:cs="Calibri"/>
          <w:kern w:val="0"/>
          <w:sz w:val="20"/>
          <w:szCs w:val="20"/>
          <w14:ligatures w14:val="none"/>
        </w:rPr>
        <w:t>037</w:t>
      </w:r>
      <w:r w:rsidR="005656C5">
        <w:rPr>
          <w:rFonts w:ascii="Arial" w:eastAsia="Calibri" w:hAnsi="Arial" w:cs="Calibri"/>
          <w:kern w:val="0"/>
          <w:sz w:val="20"/>
          <w:szCs w:val="20"/>
          <w:lang w:val="vi-VN"/>
          <w14:ligatures w14:val="none"/>
        </w:rPr>
        <w:t xml:space="preserve">, see </w:t>
      </w:r>
      <w:r w:rsidR="005656C5" w:rsidRPr="00C81DB8">
        <w:rPr>
          <w:rFonts w:ascii="Arial" w:eastAsia="Calibri" w:hAnsi="Arial" w:cs="Calibri"/>
          <w:b/>
          <w:bCs/>
          <w:kern w:val="0"/>
          <w:sz w:val="20"/>
          <w:szCs w:val="20"/>
          <w:lang w:val="vi-VN"/>
          <w14:ligatures w14:val="none"/>
        </w:rPr>
        <w:t xml:space="preserve">Table </w:t>
      </w:r>
      <w:r w:rsidR="005E66D2">
        <w:rPr>
          <w:rFonts w:ascii="Arial" w:eastAsia="Calibri" w:hAnsi="Arial" w:cs="Calibri"/>
          <w:b/>
          <w:bCs/>
          <w:kern w:val="0"/>
          <w:sz w:val="20"/>
          <w:szCs w:val="20"/>
          <w:lang w:val="vi-VN"/>
          <w14:ligatures w14:val="none"/>
        </w:rPr>
        <w:t>1)</w:t>
      </w:r>
      <w:r w:rsidR="005656C5" w:rsidRPr="005656C5">
        <w:rPr>
          <w:rFonts w:ascii="Arial" w:eastAsia="Calibri" w:hAnsi="Arial" w:cs="Calibri"/>
          <w:kern w:val="0"/>
          <w:sz w:val="20"/>
          <w:szCs w:val="20"/>
          <w14:ligatures w14:val="none"/>
        </w:rPr>
        <w:t>.</w:t>
      </w:r>
      <w:r w:rsidR="00C81DB8" w:rsidRPr="00C81DB8">
        <w:t xml:space="preserve"> </w:t>
      </w:r>
      <w:r w:rsidR="00C81DB8" w:rsidRPr="00C81DB8">
        <w:rPr>
          <w:rFonts w:ascii="Arial" w:eastAsia="Calibri" w:hAnsi="Arial" w:cs="Calibri"/>
          <w:kern w:val="0"/>
          <w:sz w:val="20"/>
          <w:szCs w:val="20"/>
          <w14:ligatures w14:val="none"/>
        </w:rPr>
        <w:t xml:space="preserve">Variants in </w:t>
      </w:r>
      <w:r w:rsidR="00C81DB8" w:rsidRPr="00C1416B">
        <w:rPr>
          <w:rFonts w:ascii="Arial" w:eastAsia="Calibri" w:hAnsi="Arial" w:cs="Calibri"/>
          <w:kern w:val="0"/>
          <w:sz w:val="20"/>
          <w:szCs w:val="20"/>
          <w14:ligatures w14:val="none"/>
        </w:rPr>
        <w:t>ABCB1, CES1, ABCG2, CYP3A4</w:t>
      </w:r>
      <w:r w:rsidR="00C81DB8" w:rsidRPr="00C81DB8">
        <w:rPr>
          <w:rFonts w:ascii="Arial" w:eastAsia="Calibri" w:hAnsi="Arial" w:cs="Calibri"/>
          <w:kern w:val="0"/>
          <w:sz w:val="20"/>
          <w:szCs w:val="20"/>
          <w14:ligatures w14:val="none"/>
        </w:rPr>
        <w:t xml:space="preserve">, and </w:t>
      </w:r>
      <w:r w:rsidR="00C81DB8" w:rsidRPr="00C1416B">
        <w:rPr>
          <w:rFonts w:ascii="Arial" w:eastAsia="Calibri" w:hAnsi="Arial" w:cs="Calibri"/>
          <w:kern w:val="0"/>
          <w:sz w:val="20"/>
          <w:szCs w:val="20"/>
          <w14:ligatures w14:val="none"/>
        </w:rPr>
        <w:t>SLCO1B1</w:t>
      </w:r>
      <w:r w:rsidR="00C81DB8" w:rsidRPr="00C81DB8">
        <w:rPr>
          <w:rFonts w:ascii="Arial" w:eastAsia="Calibri" w:hAnsi="Arial" w:cs="Calibri"/>
          <w:kern w:val="0"/>
          <w:sz w:val="20"/>
          <w:szCs w:val="20"/>
          <w14:ligatures w14:val="none"/>
        </w:rPr>
        <w:t xml:space="preserve"> were associated with altered drug exposure and bleeding or stroke risk. Specific alleles reduced clinical event risks to </w:t>
      </w:r>
      <w:r w:rsidR="00F86C30">
        <w:rPr>
          <w:rFonts w:ascii="Arial" w:eastAsia="Calibri" w:hAnsi="Arial" w:cs="Calibri"/>
          <w:kern w:val="0"/>
          <w:sz w:val="20"/>
          <w:szCs w:val="20"/>
          <w14:ligatures w14:val="none"/>
        </w:rPr>
        <w:t>below</w:t>
      </w:r>
      <w:r w:rsidR="00F86C30">
        <w:rPr>
          <w:rFonts w:ascii="Arial" w:eastAsia="Calibri" w:hAnsi="Arial" w:cs="Calibri"/>
          <w:kern w:val="0"/>
          <w:sz w:val="20"/>
          <w:szCs w:val="20"/>
          <w:lang w:val="vi-VN"/>
          <w14:ligatures w14:val="none"/>
        </w:rPr>
        <w:t xml:space="preserve"> </w:t>
      </w:r>
      <w:r w:rsidR="00C81DB8" w:rsidRPr="00C81DB8">
        <w:rPr>
          <w:rFonts w:ascii="Arial" w:eastAsia="Calibri" w:hAnsi="Arial" w:cs="Calibri"/>
          <w:kern w:val="0"/>
          <w:sz w:val="20"/>
          <w:szCs w:val="20"/>
          <w14:ligatures w14:val="none"/>
        </w:rPr>
        <w:t>20</w:t>
      </w:r>
      <w:r w:rsidR="00F86C30">
        <w:rPr>
          <w:rFonts w:ascii="Arial" w:eastAsia="Calibri" w:hAnsi="Arial" w:cs="Calibri"/>
          <w:kern w:val="0"/>
          <w:sz w:val="20"/>
          <w:szCs w:val="20"/>
          <w:lang w:val="vi-VN"/>
          <w14:ligatures w14:val="none"/>
        </w:rPr>
        <w:t xml:space="preserve"> </w:t>
      </w:r>
      <w:r w:rsidR="00C81DB8" w:rsidRPr="00C81DB8">
        <w:rPr>
          <w:rFonts w:ascii="Arial" w:eastAsia="Calibri" w:hAnsi="Arial" w:cs="Calibri"/>
          <w:kern w:val="0"/>
          <w:sz w:val="20"/>
          <w:szCs w:val="20"/>
          <w14:ligatures w14:val="none"/>
        </w:rPr>
        <w:t>–</w:t>
      </w:r>
      <w:r w:rsidR="00F86C30">
        <w:rPr>
          <w:rFonts w:ascii="Arial" w:eastAsia="Calibri" w:hAnsi="Arial" w:cs="Calibri"/>
          <w:kern w:val="0"/>
          <w:sz w:val="20"/>
          <w:szCs w:val="20"/>
          <w:lang w:val="vi-VN"/>
          <w14:ligatures w14:val="none"/>
        </w:rPr>
        <w:t xml:space="preserve"> </w:t>
      </w:r>
      <w:r w:rsidR="00C81DB8" w:rsidRPr="00C81DB8">
        <w:rPr>
          <w:rFonts w:ascii="Arial" w:eastAsia="Calibri" w:hAnsi="Arial" w:cs="Calibri"/>
          <w:kern w:val="0"/>
          <w:sz w:val="20"/>
          <w:szCs w:val="20"/>
          <w14:ligatures w14:val="none"/>
        </w:rPr>
        <w:t xml:space="preserve">40%, depending on the </w:t>
      </w:r>
      <w:r w:rsidR="00F86C30">
        <w:rPr>
          <w:rFonts w:ascii="Arial" w:eastAsia="Calibri" w:hAnsi="Arial" w:cs="Calibri"/>
          <w:kern w:val="0"/>
          <w:sz w:val="20"/>
          <w:szCs w:val="20"/>
          <w14:ligatures w14:val="none"/>
        </w:rPr>
        <w:t>DOACs</w:t>
      </w:r>
      <w:r w:rsidR="00C81DB8" w:rsidRPr="00C81DB8">
        <w:rPr>
          <w:rFonts w:ascii="Arial" w:eastAsia="Calibri" w:hAnsi="Arial" w:cs="Calibri"/>
          <w:kern w:val="0"/>
          <w:sz w:val="20"/>
          <w:szCs w:val="20"/>
          <w14:ligatures w14:val="none"/>
        </w:rPr>
        <w:t xml:space="preserve"> and genotype</w:t>
      </w:r>
      <w:r w:rsidR="0032628F">
        <w:rPr>
          <w:rFonts w:ascii="Arial" w:eastAsia="Calibri" w:hAnsi="Arial" w:cs="Calibri"/>
          <w:kern w:val="0"/>
          <w:sz w:val="20"/>
          <w:szCs w:val="20"/>
          <w:lang w:val="vi-VN"/>
          <w14:ligatures w14:val="none"/>
        </w:rPr>
        <w:t xml:space="preserve"> (see </w:t>
      </w:r>
      <w:r w:rsidR="0032628F" w:rsidRPr="0032628F">
        <w:rPr>
          <w:rFonts w:ascii="Arial" w:eastAsia="Calibri" w:hAnsi="Arial" w:cs="Calibri"/>
          <w:b/>
          <w:bCs/>
          <w:kern w:val="0"/>
          <w:sz w:val="20"/>
          <w:szCs w:val="20"/>
          <w:lang w:val="vi-VN"/>
          <w14:ligatures w14:val="none"/>
        </w:rPr>
        <w:t>Figure 2</w:t>
      </w:r>
      <w:r w:rsidR="0032628F">
        <w:rPr>
          <w:rFonts w:ascii="Arial" w:eastAsia="Calibri" w:hAnsi="Arial" w:cs="Calibri"/>
          <w:kern w:val="0"/>
          <w:sz w:val="20"/>
          <w:szCs w:val="20"/>
          <w:lang w:val="vi-VN"/>
          <w14:ligatures w14:val="none"/>
        </w:rPr>
        <w:t>)</w:t>
      </w:r>
      <w:r w:rsidR="00C81DB8" w:rsidRPr="00C81DB8">
        <w:rPr>
          <w:rFonts w:ascii="Arial" w:eastAsia="Calibri" w:hAnsi="Arial" w:cs="Calibri"/>
          <w:kern w:val="0"/>
          <w:sz w:val="20"/>
          <w:szCs w:val="20"/>
          <w14:ligatures w14:val="none"/>
        </w:rPr>
        <w:t>.</w:t>
      </w:r>
      <w:r w:rsidR="005656C5" w:rsidRPr="005656C5">
        <w:rPr>
          <w:rFonts w:ascii="Arial" w:eastAsia="Calibri" w:hAnsi="Arial" w:cs="Calibri"/>
          <w:kern w:val="0"/>
          <w:sz w:val="20"/>
          <w:szCs w:val="20"/>
          <w14:ligatures w14:val="none"/>
        </w:rPr>
        <w:t xml:space="preserve"> PCA identified two patient clusters</w:t>
      </w:r>
      <w:r w:rsidR="00C81DB8">
        <w:rPr>
          <w:rFonts w:ascii="Arial" w:eastAsia="Calibri" w:hAnsi="Arial" w:cs="Calibri"/>
          <w:kern w:val="0"/>
          <w:sz w:val="20"/>
          <w:szCs w:val="20"/>
          <w:lang w:val="vi-VN"/>
          <w14:ligatures w14:val="none"/>
        </w:rPr>
        <w:t xml:space="preserve"> (see </w:t>
      </w:r>
      <w:r w:rsidR="00C81DB8" w:rsidRPr="00C81DB8">
        <w:rPr>
          <w:rFonts w:ascii="Arial" w:eastAsia="Calibri" w:hAnsi="Arial" w:cs="Calibri"/>
          <w:b/>
          <w:bCs/>
          <w:kern w:val="0"/>
          <w:sz w:val="20"/>
          <w:szCs w:val="20"/>
          <w:lang w:val="vi-VN"/>
          <w14:ligatures w14:val="none"/>
        </w:rPr>
        <w:t xml:space="preserve">Figure </w:t>
      </w:r>
      <w:r w:rsidR="0032628F">
        <w:rPr>
          <w:rFonts w:ascii="Arial" w:eastAsia="Calibri" w:hAnsi="Arial" w:cs="Calibri"/>
          <w:b/>
          <w:bCs/>
          <w:kern w:val="0"/>
          <w:sz w:val="20"/>
          <w:szCs w:val="20"/>
          <w:lang w:val="vi-VN"/>
          <w14:ligatures w14:val="none"/>
        </w:rPr>
        <w:t>3</w:t>
      </w:r>
      <w:r w:rsidR="00C81DB8">
        <w:rPr>
          <w:rFonts w:ascii="Arial" w:eastAsia="Calibri" w:hAnsi="Arial" w:cs="Calibri"/>
          <w:kern w:val="0"/>
          <w:sz w:val="20"/>
          <w:szCs w:val="20"/>
          <w:lang w:val="vi-VN"/>
          <w14:ligatures w14:val="none"/>
        </w:rPr>
        <w:t>)</w:t>
      </w:r>
      <w:r w:rsidR="005656C5" w:rsidRPr="005656C5">
        <w:rPr>
          <w:rFonts w:ascii="Arial" w:eastAsia="Calibri" w:hAnsi="Arial" w:cs="Calibri"/>
          <w:kern w:val="0"/>
          <w:sz w:val="20"/>
          <w:szCs w:val="20"/>
          <w14:ligatures w14:val="none"/>
        </w:rPr>
        <w:t>: Low Risk (stable pharmacokinetics, minimal adverse events) and Moderate Risk (variable drug exposure, elevated complications).</w:t>
      </w:r>
    </w:p>
    <w:p w14:paraId="69B244A5" w14:textId="77777777" w:rsidR="00F86C30" w:rsidRPr="00F86C30" w:rsidRDefault="00F86C30" w:rsidP="2021B9E9">
      <w:pPr>
        <w:spacing w:after="0" w:line="240" w:lineRule="auto"/>
        <w:jc w:val="both"/>
        <w:rPr>
          <w:rFonts w:ascii="Arial" w:eastAsia="Calibri" w:hAnsi="Arial" w:cs="Calibri"/>
          <w:kern w:val="0"/>
          <w:sz w:val="20"/>
          <w:szCs w:val="20"/>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3"/>
        <w:gridCol w:w="3918"/>
      </w:tblGrid>
      <w:tr w:rsidR="008A7976" w14:paraId="6A649CE1" w14:textId="77777777" w:rsidTr="002F7385">
        <w:tc>
          <w:tcPr>
            <w:tcW w:w="5098" w:type="dxa"/>
            <w:gridSpan w:val="2"/>
          </w:tcPr>
          <w:p w14:paraId="02AC8382" w14:textId="77777777" w:rsidR="008A7976" w:rsidRDefault="008A7976" w:rsidP="2021B9E9">
            <w:pPr>
              <w:jc w:val="both"/>
              <w:rPr>
                <w:rFonts w:ascii="Arial" w:eastAsia="Calibri" w:hAnsi="Arial" w:cs="Calibri"/>
                <w:sz w:val="20"/>
                <w:szCs w:val="20"/>
                <w:lang w:val="vi-VN"/>
              </w:rPr>
            </w:pPr>
            <w:r w:rsidRPr="005656C5">
              <w:rPr>
                <w:rFonts w:ascii="Arial" w:eastAsia="Calibri" w:hAnsi="Arial" w:cs="Calibri"/>
                <w:b/>
                <w:noProof/>
                <w:kern w:val="0"/>
                <w:sz w:val="20"/>
                <w:szCs w:val="20"/>
                <w14:ligatures w14:val="none"/>
              </w:rPr>
              <w:drawing>
                <wp:inline distT="0" distB="0" distL="0" distR="0" wp14:anchorId="30C89330" wp14:editId="2B6285CD">
                  <wp:extent cx="3133210" cy="896293"/>
                  <wp:effectExtent l="0" t="0" r="0" b="0"/>
                  <wp:docPr id="1678798822" name="Picture 1" descr="A diagram of a clin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98822" name="Picture 1" descr="A diagram of a clinical"/>
                          <pic:cNvPicPr/>
                        </pic:nvPicPr>
                        <pic:blipFill>
                          <a:blip r:embed="rId8"/>
                          <a:stretch>
                            <a:fillRect/>
                          </a:stretch>
                        </pic:blipFill>
                        <pic:spPr>
                          <a:xfrm>
                            <a:off x="0" y="0"/>
                            <a:ext cx="3265003" cy="933994"/>
                          </a:xfrm>
                          <a:prstGeom prst="rect">
                            <a:avLst/>
                          </a:prstGeom>
                        </pic:spPr>
                      </pic:pic>
                    </a:graphicData>
                  </a:graphic>
                </wp:inline>
              </w:drawing>
            </w:r>
          </w:p>
          <w:p w14:paraId="59B80A7C" w14:textId="4883E8B2" w:rsidR="008A7976" w:rsidRPr="002F7385" w:rsidRDefault="008A7976" w:rsidP="002F7385">
            <w:pPr>
              <w:jc w:val="center"/>
              <w:rPr>
                <w:rFonts w:ascii="Arial" w:eastAsia="Calibri" w:hAnsi="Arial" w:cs="Calibri"/>
                <w:kern w:val="0"/>
                <w:sz w:val="20"/>
                <w:szCs w:val="20"/>
                <w:lang w:val="vi-VN"/>
                <w14:ligatures w14:val="none"/>
              </w:rPr>
            </w:pPr>
            <w:r w:rsidRPr="2021B9E9">
              <w:rPr>
                <w:rFonts w:ascii="Arial" w:eastAsia="Calibri" w:hAnsi="Arial" w:cs="Calibri"/>
                <w:b/>
                <w:bCs/>
                <w:kern w:val="0"/>
                <w:sz w:val="20"/>
                <w:szCs w:val="20"/>
                <w:lang w:val="en-GB"/>
                <w14:ligatures w14:val="none"/>
              </w:rPr>
              <w:t xml:space="preserve">Figure 1. </w:t>
            </w:r>
            <w:r>
              <w:rPr>
                <w:rFonts w:ascii="Arial" w:eastAsia="Calibri" w:hAnsi="Arial" w:cs="Calibri"/>
                <w:kern w:val="0"/>
                <w:sz w:val="20"/>
                <w:szCs w:val="20"/>
                <w14:ligatures w14:val="none"/>
              </w:rPr>
              <w:t>SEM</w:t>
            </w:r>
            <w:r>
              <w:rPr>
                <w:rFonts w:ascii="Arial" w:eastAsia="Calibri" w:hAnsi="Arial" w:cs="Calibri"/>
                <w:kern w:val="0"/>
                <w:sz w:val="20"/>
                <w:szCs w:val="20"/>
                <w:lang w:val="vi-VN"/>
                <w14:ligatures w14:val="none"/>
              </w:rPr>
              <w:t xml:space="preserve"> </w:t>
            </w:r>
            <w:r w:rsidRPr="00C81DB8">
              <w:rPr>
                <w:rFonts w:ascii="Arial" w:eastAsia="Calibri" w:hAnsi="Arial" w:cs="Calibri"/>
                <w:kern w:val="0"/>
                <w:sz w:val="20"/>
                <w:szCs w:val="20"/>
                <w14:ligatures w14:val="none"/>
              </w:rPr>
              <w:t xml:space="preserve">of Genetic Influence on </w:t>
            </w:r>
            <w:r w:rsidR="00F86C30">
              <w:rPr>
                <w:rFonts w:ascii="Arial" w:eastAsia="Calibri" w:hAnsi="Arial" w:cs="Calibri"/>
                <w:kern w:val="0"/>
                <w:sz w:val="20"/>
                <w:szCs w:val="20"/>
                <w14:ligatures w14:val="none"/>
              </w:rPr>
              <w:t>DOACs</w:t>
            </w:r>
            <w:r w:rsidRPr="00C81DB8">
              <w:rPr>
                <w:rFonts w:ascii="Arial" w:eastAsia="Calibri" w:hAnsi="Arial" w:cs="Calibri"/>
                <w:kern w:val="0"/>
                <w:sz w:val="20"/>
                <w:szCs w:val="20"/>
                <w14:ligatures w14:val="none"/>
              </w:rPr>
              <w:t xml:space="preserve"> Outcomes</w:t>
            </w:r>
            <w:r w:rsidRPr="2021B9E9">
              <w:rPr>
                <w:rFonts w:ascii="Arial" w:eastAsia="Calibri" w:hAnsi="Arial" w:cs="Calibri"/>
                <w:kern w:val="0"/>
                <w:sz w:val="20"/>
                <w:szCs w:val="20"/>
                <w:lang w:val="en-GB"/>
                <w14:ligatures w14:val="none"/>
              </w:rPr>
              <w:t>.</w:t>
            </w:r>
          </w:p>
        </w:tc>
        <w:tc>
          <w:tcPr>
            <w:tcW w:w="3918" w:type="dxa"/>
          </w:tcPr>
          <w:p w14:paraId="0AD45DC2" w14:textId="793FCCC7" w:rsidR="008A7976" w:rsidRDefault="00DD4D7C" w:rsidP="002F7385">
            <w:pPr>
              <w:jc w:val="center"/>
              <w:rPr>
                <w:rFonts w:ascii="Arial" w:eastAsia="Calibri" w:hAnsi="Arial" w:cs="Calibri"/>
                <w:sz w:val="20"/>
                <w:szCs w:val="20"/>
                <w:lang w:val="vi-VN"/>
              </w:rPr>
            </w:pPr>
            <w:r>
              <w:rPr>
                <w:rFonts w:ascii="Arial" w:eastAsia="Calibri" w:hAnsi="Arial" w:cs="Calibri"/>
                <w:b/>
                <w:kern w:val="0"/>
                <w:sz w:val="20"/>
                <w:szCs w:val="20"/>
                <w:lang w:val="vi-VN"/>
                <w14:ligatures w14:val="none"/>
              </w:rPr>
              <w:t xml:space="preserve">Table 1. </w:t>
            </w:r>
            <w:r w:rsidRPr="00C81DB8">
              <w:rPr>
                <w:rFonts w:ascii="Arial" w:eastAsia="Calibri" w:hAnsi="Arial" w:cs="Calibri"/>
                <w:bCs/>
                <w:kern w:val="0"/>
                <w:sz w:val="20"/>
                <w:szCs w:val="20"/>
                <w14:ligatures w14:val="none"/>
              </w:rPr>
              <w:t xml:space="preserve">SEM Model Fit </w:t>
            </w:r>
            <w:r>
              <w:rPr>
                <w:rFonts w:ascii="Arial" w:eastAsia="Calibri" w:hAnsi="Arial" w:cs="Calibri"/>
                <w:bCs/>
                <w:kern w:val="0"/>
                <w:sz w:val="20"/>
                <w:szCs w:val="20"/>
                <w14:ligatures w14:val="none"/>
              </w:rPr>
              <w:t>Summary</w:t>
            </w:r>
          </w:p>
          <w:tbl>
            <w:tblPr>
              <w:tblStyle w:val="TableGrid"/>
              <w:tblW w:w="0" w:type="auto"/>
              <w:jc w:val="center"/>
              <w:tblLayout w:type="fixed"/>
              <w:tblLook w:val="04A0" w:firstRow="1" w:lastRow="0" w:firstColumn="1" w:lastColumn="0" w:noHBand="0" w:noVBand="1"/>
            </w:tblPr>
            <w:tblGrid>
              <w:gridCol w:w="1838"/>
              <w:gridCol w:w="2018"/>
            </w:tblGrid>
            <w:tr w:rsidR="002F7385" w:rsidRPr="005656C5" w14:paraId="2A24937C" w14:textId="77777777" w:rsidTr="007C2618">
              <w:trPr>
                <w:jc w:val="center"/>
              </w:trPr>
              <w:tc>
                <w:tcPr>
                  <w:tcW w:w="1838" w:type="dxa"/>
                  <w:hideMark/>
                </w:tcPr>
                <w:p w14:paraId="34982BFA" w14:textId="77777777" w:rsidR="002F7385" w:rsidRPr="005656C5" w:rsidRDefault="002F7385" w:rsidP="002F7385">
                  <w:pPr>
                    <w:jc w:val="center"/>
                    <w:rPr>
                      <w:rFonts w:ascii="Arial" w:eastAsia="Calibri" w:hAnsi="Arial" w:cs="Arial"/>
                      <w:b/>
                      <w:bCs/>
                      <w:kern w:val="0"/>
                      <w:sz w:val="20"/>
                      <w:szCs w:val="20"/>
                      <w:lang w:val="en-US"/>
                      <w14:ligatures w14:val="none"/>
                    </w:rPr>
                  </w:pPr>
                  <w:r w:rsidRPr="00C81DB8">
                    <w:rPr>
                      <w:rFonts w:ascii="Arial" w:eastAsia="Times New Roman" w:hAnsi="Arial" w:cs="Arial"/>
                      <w:b/>
                      <w:bCs/>
                      <w:color w:val="000000"/>
                      <w:kern w:val="0"/>
                      <w:sz w:val="22"/>
                      <w:szCs w:val="22"/>
                      <w:lang w:val="en-US"/>
                      <w14:ligatures w14:val="none"/>
                    </w:rPr>
                    <w:t>Parameter</w:t>
                  </w:r>
                </w:p>
              </w:tc>
              <w:tc>
                <w:tcPr>
                  <w:tcW w:w="2018" w:type="dxa"/>
                  <w:hideMark/>
                </w:tcPr>
                <w:p w14:paraId="4CDBDFC6" w14:textId="77777777" w:rsidR="002F7385" w:rsidRPr="005656C5" w:rsidRDefault="002F7385" w:rsidP="002F7385">
                  <w:pPr>
                    <w:jc w:val="center"/>
                    <w:rPr>
                      <w:rFonts w:ascii="Arial" w:eastAsia="Calibri" w:hAnsi="Arial" w:cs="Arial"/>
                      <w:b/>
                      <w:bCs/>
                      <w:kern w:val="0"/>
                      <w:sz w:val="20"/>
                      <w:szCs w:val="20"/>
                      <w:lang w:val="vi-VN"/>
                      <w14:ligatures w14:val="none"/>
                    </w:rPr>
                  </w:pPr>
                  <w:r w:rsidRPr="00C81DB8">
                    <w:rPr>
                      <w:rFonts w:ascii="Arial" w:eastAsia="Times New Roman" w:hAnsi="Arial" w:cs="Arial"/>
                      <w:b/>
                      <w:bCs/>
                      <w:color w:val="000000"/>
                      <w:kern w:val="0"/>
                      <w:sz w:val="22"/>
                      <w:szCs w:val="22"/>
                      <w:lang w:val="en-US"/>
                      <w14:ligatures w14:val="none"/>
                    </w:rPr>
                    <w:t>Value</w:t>
                  </w:r>
                </w:p>
              </w:tc>
            </w:tr>
            <w:tr w:rsidR="002F7385" w:rsidRPr="005656C5" w14:paraId="01BD9C73" w14:textId="77777777" w:rsidTr="007C2618">
              <w:trPr>
                <w:jc w:val="center"/>
              </w:trPr>
              <w:tc>
                <w:tcPr>
                  <w:tcW w:w="1838" w:type="dxa"/>
                  <w:hideMark/>
                </w:tcPr>
                <w:p w14:paraId="583ACCBE" w14:textId="77777777" w:rsidR="002F7385" w:rsidRPr="005656C5" w:rsidRDefault="002F7385" w:rsidP="002F7385">
                  <w:pPr>
                    <w:jc w:val="both"/>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CFI / TLI</w:t>
                  </w:r>
                </w:p>
              </w:tc>
              <w:tc>
                <w:tcPr>
                  <w:tcW w:w="2018" w:type="dxa"/>
                  <w:hideMark/>
                </w:tcPr>
                <w:p w14:paraId="62CD86EA" w14:textId="77777777" w:rsidR="002F7385" w:rsidRPr="005656C5" w:rsidRDefault="002F7385" w:rsidP="002F7385">
                  <w:pPr>
                    <w:jc w:val="right"/>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0.996 / 0.986</w:t>
                  </w:r>
                </w:p>
              </w:tc>
            </w:tr>
            <w:tr w:rsidR="002F7385" w:rsidRPr="005656C5" w14:paraId="4374E093" w14:textId="77777777" w:rsidTr="007C2618">
              <w:trPr>
                <w:jc w:val="center"/>
              </w:trPr>
              <w:tc>
                <w:tcPr>
                  <w:tcW w:w="1838" w:type="dxa"/>
                  <w:hideMark/>
                </w:tcPr>
                <w:p w14:paraId="6227884B" w14:textId="77777777" w:rsidR="002F7385" w:rsidRPr="005656C5" w:rsidRDefault="002F7385" w:rsidP="002F7385">
                  <w:pPr>
                    <w:jc w:val="both"/>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RMSEA (90% CI)</w:t>
                  </w:r>
                </w:p>
              </w:tc>
              <w:tc>
                <w:tcPr>
                  <w:tcW w:w="2018" w:type="dxa"/>
                  <w:hideMark/>
                </w:tcPr>
                <w:p w14:paraId="21A49F02" w14:textId="77777777" w:rsidR="002F7385" w:rsidRPr="005656C5" w:rsidRDefault="002F7385" w:rsidP="002F7385">
                  <w:pPr>
                    <w:jc w:val="right"/>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0.047 (0.000–0.104)</w:t>
                  </w:r>
                </w:p>
              </w:tc>
            </w:tr>
            <w:tr w:rsidR="002F7385" w:rsidRPr="005656C5" w14:paraId="40AC7B2D" w14:textId="77777777" w:rsidTr="007C2618">
              <w:trPr>
                <w:jc w:val="center"/>
              </w:trPr>
              <w:tc>
                <w:tcPr>
                  <w:tcW w:w="1838" w:type="dxa"/>
                  <w:hideMark/>
                </w:tcPr>
                <w:p w14:paraId="75D840DD" w14:textId="77777777" w:rsidR="002F7385" w:rsidRPr="005656C5" w:rsidRDefault="002F7385" w:rsidP="002F7385">
                  <w:pPr>
                    <w:jc w:val="both"/>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p (RMSEA ≤ 0.05)</w:t>
                  </w:r>
                </w:p>
              </w:tc>
              <w:tc>
                <w:tcPr>
                  <w:tcW w:w="2018" w:type="dxa"/>
                  <w:hideMark/>
                </w:tcPr>
                <w:p w14:paraId="043D59D9" w14:textId="77777777" w:rsidR="002F7385" w:rsidRPr="005656C5" w:rsidRDefault="002F7385" w:rsidP="002F7385">
                  <w:pPr>
                    <w:jc w:val="right"/>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0.445</w:t>
                  </w:r>
                </w:p>
              </w:tc>
            </w:tr>
            <w:tr w:rsidR="002F7385" w:rsidRPr="005656C5" w14:paraId="75EAE512" w14:textId="77777777" w:rsidTr="007C2618">
              <w:trPr>
                <w:jc w:val="center"/>
              </w:trPr>
              <w:tc>
                <w:tcPr>
                  <w:tcW w:w="1838" w:type="dxa"/>
                  <w:hideMark/>
                </w:tcPr>
                <w:p w14:paraId="33FE40AB" w14:textId="77777777" w:rsidR="002F7385" w:rsidRPr="005656C5" w:rsidRDefault="002F7385" w:rsidP="002F7385">
                  <w:pPr>
                    <w:jc w:val="both"/>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SRMR</w:t>
                  </w:r>
                </w:p>
              </w:tc>
              <w:tc>
                <w:tcPr>
                  <w:tcW w:w="2018" w:type="dxa"/>
                  <w:hideMark/>
                </w:tcPr>
                <w:p w14:paraId="3C03B95C" w14:textId="77777777" w:rsidR="002F7385" w:rsidRPr="005656C5" w:rsidRDefault="002F7385" w:rsidP="002F7385">
                  <w:pPr>
                    <w:jc w:val="right"/>
                    <w:rPr>
                      <w:rFonts w:ascii="Arial" w:eastAsia="Calibri" w:hAnsi="Arial" w:cs="Arial"/>
                      <w:kern w:val="0"/>
                      <w:sz w:val="20"/>
                      <w:szCs w:val="20"/>
                      <w:lang w:val="en-US"/>
                      <w14:ligatures w14:val="none"/>
                    </w:rPr>
                  </w:pPr>
                  <w:r w:rsidRPr="005656C5">
                    <w:rPr>
                      <w:rFonts w:ascii="Arial" w:eastAsia="Calibri" w:hAnsi="Arial" w:cs="Arial"/>
                      <w:kern w:val="0"/>
                      <w:sz w:val="20"/>
                      <w:szCs w:val="20"/>
                      <w:lang w:val="en-US"/>
                      <w14:ligatures w14:val="none"/>
                    </w:rPr>
                    <w:t>0.031</w:t>
                  </w:r>
                </w:p>
              </w:tc>
            </w:tr>
          </w:tbl>
          <w:p w14:paraId="047728CB" w14:textId="6D4B3511" w:rsidR="008A7976" w:rsidRPr="002F7385" w:rsidRDefault="008A7976" w:rsidP="002F7385">
            <w:pPr>
              <w:jc w:val="center"/>
              <w:rPr>
                <w:rFonts w:ascii="Arial" w:eastAsia="Calibri" w:hAnsi="Arial" w:cs="Calibri"/>
                <w:kern w:val="0"/>
                <w:sz w:val="20"/>
                <w:szCs w:val="20"/>
                <w:lang w:val="vi-VN"/>
                <w14:ligatures w14:val="none"/>
              </w:rPr>
            </w:pPr>
          </w:p>
        </w:tc>
      </w:tr>
      <w:tr w:rsidR="002F7385" w:rsidRPr="002F7385" w14:paraId="22A80566" w14:textId="77777777" w:rsidTr="002F7385">
        <w:tc>
          <w:tcPr>
            <w:tcW w:w="4815" w:type="dxa"/>
          </w:tcPr>
          <w:p w14:paraId="66372169" w14:textId="77777777" w:rsidR="002F7385" w:rsidRDefault="002F7385" w:rsidP="007C2618">
            <w:pPr>
              <w:jc w:val="center"/>
              <w:rPr>
                <w:rFonts w:ascii="Arial" w:eastAsia="Calibri" w:hAnsi="Arial" w:cs="Calibri"/>
                <w:bCs/>
                <w:kern w:val="0"/>
                <w:sz w:val="20"/>
                <w:szCs w:val="20"/>
                <w:lang w:val="vi-VN"/>
                <w14:ligatures w14:val="none"/>
              </w:rPr>
            </w:pPr>
            <w:r w:rsidRPr="0032628F">
              <w:rPr>
                <w:rFonts w:ascii="Arial" w:eastAsia="Calibri" w:hAnsi="Arial" w:cs="Calibri"/>
                <w:noProof/>
                <w:kern w:val="0"/>
                <w:sz w:val="20"/>
                <w:szCs w:val="20"/>
                <w:lang w:val="vi-VN"/>
                <w14:ligatures w14:val="none"/>
              </w:rPr>
              <w:drawing>
                <wp:inline distT="0" distB="0" distL="0" distR="0" wp14:anchorId="22E3ECB4" wp14:editId="1CFC7648">
                  <wp:extent cx="2159252" cy="1557841"/>
                  <wp:effectExtent l="0" t="0" r="0" b="4445"/>
                  <wp:docPr id="2031323122" name="Picture 1" descr="A graph of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23122" name="Picture 1" descr="A graph of dna sequence&#10;&#10;AI-generated content may be incorrect."/>
                          <pic:cNvPicPr/>
                        </pic:nvPicPr>
                        <pic:blipFill>
                          <a:blip r:embed="rId9"/>
                          <a:stretch>
                            <a:fillRect/>
                          </a:stretch>
                        </pic:blipFill>
                        <pic:spPr>
                          <a:xfrm>
                            <a:off x="0" y="0"/>
                            <a:ext cx="2203460" cy="1589736"/>
                          </a:xfrm>
                          <a:prstGeom prst="rect">
                            <a:avLst/>
                          </a:prstGeom>
                        </pic:spPr>
                      </pic:pic>
                    </a:graphicData>
                  </a:graphic>
                </wp:inline>
              </w:drawing>
            </w:r>
          </w:p>
          <w:p w14:paraId="6C09A8C9" w14:textId="3E1E5638" w:rsidR="002F7385" w:rsidRPr="002F7385" w:rsidRDefault="002F7385" w:rsidP="007C2618">
            <w:pPr>
              <w:jc w:val="center"/>
              <w:rPr>
                <w:rFonts w:ascii="Arial" w:eastAsia="Calibri" w:hAnsi="Arial" w:cs="Calibri"/>
                <w:bCs/>
                <w:kern w:val="0"/>
                <w:sz w:val="20"/>
                <w:szCs w:val="20"/>
                <w:lang w:val="vi-VN"/>
                <w14:ligatures w14:val="none"/>
              </w:rPr>
            </w:pPr>
            <w:r w:rsidRPr="0032628F">
              <w:rPr>
                <w:rFonts w:ascii="Arial" w:eastAsia="Calibri" w:hAnsi="Arial" w:cs="Calibri"/>
                <w:b/>
                <w:bCs/>
                <w:kern w:val="0"/>
                <w:sz w:val="20"/>
                <w:szCs w:val="20"/>
                <w:lang w:val="vi-VN"/>
                <w14:ligatures w14:val="none"/>
              </w:rPr>
              <w:t>Figure 2.</w:t>
            </w:r>
            <w:r>
              <w:rPr>
                <w:rFonts w:ascii="Arial" w:eastAsia="Calibri" w:hAnsi="Arial" w:cs="Calibri"/>
                <w:kern w:val="0"/>
                <w:sz w:val="20"/>
                <w:szCs w:val="20"/>
                <w:lang w:val="vi-VN"/>
                <w14:ligatures w14:val="none"/>
              </w:rPr>
              <w:t xml:space="preserve"> </w:t>
            </w:r>
            <w:r w:rsidRPr="0032628F">
              <w:rPr>
                <w:rFonts w:ascii="Arial" w:eastAsia="Calibri" w:hAnsi="Arial" w:cs="Calibri"/>
                <w:kern w:val="0"/>
                <w:sz w:val="20"/>
                <w:szCs w:val="20"/>
                <w14:ligatures w14:val="none"/>
              </w:rPr>
              <w:t xml:space="preserve">Top Genotypes Associated with </w:t>
            </w:r>
            <w:r w:rsidR="00F86C30">
              <w:rPr>
                <w:rFonts w:ascii="Arial" w:eastAsia="Calibri" w:hAnsi="Arial" w:cs="Calibri"/>
                <w:kern w:val="0"/>
                <w:sz w:val="20"/>
                <w:szCs w:val="20"/>
                <w14:ligatures w14:val="none"/>
              </w:rPr>
              <w:t>DOACs</w:t>
            </w:r>
            <w:r w:rsidRPr="0032628F">
              <w:rPr>
                <w:rFonts w:ascii="Arial" w:eastAsia="Calibri" w:hAnsi="Arial" w:cs="Calibri"/>
                <w:kern w:val="0"/>
                <w:sz w:val="20"/>
                <w:szCs w:val="20"/>
                <w14:ligatures w14:val="none"/>
              </w:rPr>
              <w:t xml:space="preserve"> Clinical Effectiveness</w:t>
            </w:r>
          </w:p>
        </w:tc>
        <w:tc>
          <w:tcPr>
            <w:tcW w:w="4201" w:type="dxa"/>
            <w:gridSpan w:val="2"/>
          </w:tcPr>
          <w:p w14:paraId="499D1996" w14:textId="77777777" w:rsidR="002F7385" w:rsidRDefault="002F7385" w:rsidP="007C2618">
            <w:pPr>
              <w:jc w:val="both"/>
              <w:rPr>
                <w:rFonts w:ascii="Arial" w:eastAsia="Calibri" w:hAnsi="Arial" w:cs="Calibri"/>
                <w:bCs/>
                <w:kern w:val="0"/>
                <w:sz w:val="20"/>
                <w:szCs w:val="20"/>
                <w:lang w:val="vi-VN"/>
                <w14:ligatures w14:val="none"/>
              </w:rPr>
            </w:pPr>
            <w:r w:rsidRPr="006B619B">
              <w:rPr>
                <w:rFonts w:cs="Arial"/>
                <w:b/>
                <w:bCs/>
                <w:noProof/>
              </w:rPr>
              <w:drawing>
                <wp:inline distT="0" distB="0" distL="0" distR="0" wp14:anchorId="1C52672C" wp14:editId="45EBA65E">
                  <wp:extent cx="2556179" cy="1437613"/>
                  <wp:effectExtent l="0" t="0" r="0" b="0"/>
                  <wp:docPr id="120223251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2516" name="Picture 1" descr="A diagram of a diagram&#10;&#10;AI-generated content may be incorrect."/>
                          <pic:cNvPicPr/>
                        </pic:nvPicPr>
                        <pic:blipFill>
                          <a:blip r:embed="rId10"/>
                          <a:stretch>
                            <a:fillRect/>
                          </a:stretch>
                        </pic:blipFill>
                        <pic:spPr>
                          <a:xfrm>
                            <a:off x="0" y="0"/>
                            <a:ext cx="2633569" cy="1481137"/>
                          </a:xfrm>
                          <a:prstGeom prst="rect">
                            <a:avLst/>
                          </a:prstGeom>
                        </pic:spPr>
                      </pic:pic>
                    </a:graphicData>
                  </a:graphic>
                </wp:inline>
              </w:drawing>
            </w:r>
          </w:p>
          <w:p w14:paraId="2AEB5EFE" w14:textId="77777777" w:rsidR="002F7385" w:rsidRPr="002F7385" w:rsidRDefault="002F7385" w:rsidP="007C2618">
            <w:pPr>
              <w:jc w:val="both"/>
              <w:rPr>
                <w:rFonts w:ascii="Arial" w:eastAsia="Calibri" w:hAnsi="Arial" w:cs="Calibri"/>
                <w:bCs/>
                <w:kern w:val="0"/>
                <w:sz w:val="20"/>
                <w:szCs w:val="20"/>
                <w:lang w:val="vi-VN"/>
                <w14:ligatures w14:val="none"/>
              </w:rPr>
            </w:pPr>
            <w:r>
              <w:rPr>
                <w:rFonts w:ascii="Arial" w:eastAsia="Calibri" w:hAnsi="Arial" w:cs="Calibri"/>
                <w:b/>
                <w:kern w:val="0"/>
                <w:sz w:val="20"/>
                <w:szCs w:val="20"/>
                <w:lang w:val="vi-VN"/>
                <w14:ligatures w14:val="none"/>
              </w:rPr>
              <w:t xml:space="preserve">Figure 3. </w:t>
            </w:r>
            <w:r w:rsidRPr="00C81DB8">
              <w:rPr>
                <w:rFonts w:ascii="Arial" w:eastAsia="Calibri" w:hAnsi="Arial" w:cs="Calibri"/>
                <w:bCs/>
                <w:kern w:val="0"/>
                <w:sz w:val="20"/>
                <w:szCs w:val="20"/>
                <w:lang w:val="vi-VN"/>
                <w14:ligatures w14:val="none"/>
              </w:rPr>
              <w:t>PCA Plot with Cluster A</w:t>
            </w:r>
            <w:r>
              <w:rPr>
                <w:rFonts w:ascii="Arial" w:eastAsia="Calibri" w:hAnsi="Arial" w:cs="Calibri"/>
                <w:bCs/>
                <w:kern w:val="0"/>
                <w:sz w:val="20"/>
                <w:szCs w:val="20"/>
                <w:lang w:val="vi-VN"/>
                <w14:ligatures w14:val="none"/>
              </w:rPr>
              <w:t>nnotations</w:t>
            </w:r>
          </w:p>
        </w:tc>
      </w:tr>
    </w:tbl>
    <w:p w14:paraId="1965B18E" w14:textId="77777777" w:rsidR="002F7385" w:rsidRDefault="002F7385" w:rsidP="002F7385">
      <w:pPr>
        <w:jc w:val="both"/>
        <w:rPr>
          <w:rFonts w:ascii="Arial" w:eastAsia="Calibri" w:hAnsi="Arial" w:cs="Calibri"/>
          <w:b/>
          <w:kern w:val="0"/>
          <w:sz w:val="20"/>
          <w:szCs w:val="20"/>
          <w:lang w:val="vi-VN"/>
          <w14:ligatures w14:val="none"/>
        </w:rPr>
      </w:pPr>
    </w:p>
    <w:p w14:paraId="1D88EAAC" w14:textId="77D3F4DD" w:rsidR="002F7385" w:rsidRPr="00C315D2" w:rsidRDefault="002F7385" w:rsidP="002F7385">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Pr="00C315D2">
        <w:rPr>
          <w:rFonts w:ascii="Arial" w:eastAsia="Calibri" w:hAnsi="Arial" w:cs="Calibri"/>
          <w:b/>
          <w:kern w:val="0"/>
          <w:sz w:val="20"/>
          <w:szCs w:val="20"/>
          <w14:ligatures w14:val="none"/>
        </w:rPr>
        <w:t>Discussion.</w:t>
      </w:r>
      <w:r w:rsidRPr="00C315D2">
        <w:rPr>
          <w:rFonts w:ascii="Arial" w:eastAsia="Calibri" w:hAnsi="Arial" w:cs="Calibri"/>
          <w:bCs/>
          <w:kern w:val="0"/>
          <w:sz w:val="20"/>
          <w:szCs w:val="20"/>
          <w14:ligatures w14:val="none"/>
        </w:rPr>
        <w:t xml:space="preserve"> </w:t>
      </w:r>
      <w:r w:rsidRPr="005656C5">
        <w:rPr>
          <w:rFonts w:ascii="Arial" w:eastAsia="Calibri" w:hAnsi="Arial" w:cs="Calibri"/>
          <w:bCs/>
          <w:kern w:val="0"/>
          <w:sz w:val="20"/>
          <w:szCs w:val="20"/>
          <w14:ligatures w14:val="none"/>
        </w:rPr>
        <w:t xml:space="preserve">Genetic polymorphisms significantly influence </w:t>
      </w:r>
      <w:r>
        <w:rPr>
          <w:rFonts w:ascii="Arial" w:eastAsia="Calibri" w:hAnsi="Arial" w:cs="Calibri"/>
          <w:bCs/>
          <w:kern w:val="0"/>
          <w:sz w:val="20"/>
          <w:szCs w:val="20"/>
          <w14:ligatures w14:val="none"/>
        </w:rPr>
        <w:t>DOACs</w:t>
      </w:r>
      <w:r>
        <w:rPr>
          <w:rFonts w:ascii="Arial" w:eastAsia="Calibri" w:hAnsi="Arial" w:cs="Calibri"/>
          <w:bCs/>
          <w:kern w:val="0"/>
          <w:sz w:val="20"/>
          <w:szCs w:val="20"/>
          <w:lang w:val="vi-VN"/>
          <w14:ligatures w14:val="none"/>
        </w:rPr>
        <w:t xml:space="preserve"> </w:t>
      </w:r>
      <w:r w:rsidRPr="005656C5">
        <w:rPr>
          <w:rFonts w:ascii="Arial" w:eastAsia="Calibri" w:hAnsi="Arial" w:cs="Calibri"/>
          <w:bCs/>
          <w:kern w:val="0"/>
          <w:sz w:val="20"/>
          <w:szCs w:val="20"/>
          <w14:ligatures w14:val="none"/>
        </w:rPr>
        <w:t>response. Integrating pharmacogenomic testing with therapeutic drug monitoring can enhance treatment precision, paving the way toward more personalized anticoagulation strategies.</w:t>
      </w:r>
    </w:p>
    <w:p w14:paraId="289F9CDB" w14:textId="77777777" w:rsidR="002F7385" w:rsidRDefault="002F7385" w:rsidP="002F7385">
      <w:pPr>
        <w:spacing w:after="0" w:line="240" w:lineRule="auto"/>
        <w:jc w:val="both"/>
        <w:rPr>
          <w:rFonts w:ascii="Arial" w:eastAsia="Calibri" w:hAnsi="Arial" w:cs="Calibri"/>
          <w:bCs/>
          <w:kern w:val="0"/>
          <w:sz w:val="20"/>
          <w:szCs w:val="20"/>
          <w:lang w:val="vi-VN"/>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0E514545" w14:textId="77777777" w:rsidR="002F7385" w:rsidRPr="00F36602" w:rsidRDefault="002F7385" w:rsidP="002F7385">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F36602">
        <w:rPr>
          <w:rFonts w:ascii="Arial" w:eastAsia="Calibri" w:hAnsi="Arial" w:cs="Calibri"/>
          <w:bCs/>
          <w:kern w:val="0"/>
          <w:sz w:val="20"/>
          <w:szCs w:val="20"/>
          <w:lang w:val="en-US"/>
          <w14:ligatures w14:val="none"/>
        </w:rPr>
        <w:t xml:space="preserve">Shi, J., et al. (2023). </w:t>
      </w:r>
      <w:r w:rsidRPr="00F36602">
        <w:rPr>
          <w:rFonts w:ascii="Arial" w:eastAsia="Calibri" w:hAnsi="Arial" w:cs="Calibri"/>
          <w:bCs/>
          <w:i/>
          <w:iCs/>
          <w:kern w:val="0"/>
          <w:sz w:val="20"/>
          <w:szCs w:val="20"/>
          <w:lang w:val="en-US"/>
          <w14:ligatures w14:val="none"/>
        </w:rPr>
        <w:t>Journal of Clinical Pharmacology</w:t>
      </w:r>
      <w:r w:rsidRPr="00F36602">
        <w:rPr>
          <w:rFonts w:ascii="Arial" w:eastAsia="Calibri" w:hAnsi="Arial" w:cs="Calibri"/>
          <w:bCs/>
          <w:kern w:val="0"/>
          <w:sz w:val="20"/>
          <w:szCs w:val="20"/>
          <w:lang w:val="en-US"/>
          <w14:ligatures w14:val="none"/>
        </w:rPr>
        <w:t>, 63, 277–287.</w:t>
      </w:r>
    </w:p>
    <w:p w14:paraId="5EDB1506" w14:textId="77777777" w:rsidR="002F7385" w:rsidRPr="00F36602" w:rsidRDefault="002F7385" w:rsidP="002F7385">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F36602">
        <w:rPr>
          <w:rFonts w:ascii="Arial" w:eastAsia="Calibri" w:hAnsi="Arial" w:cs="Calibri"/>
          <w:bCs/>
          <w:kern w:val="0"/>
          <w:sz w:val="20"/>
          <w:szCs w:val="20"/>
          <w:lang w:val="en-US"/>
          <w14:ligatures w14:val="none"/>
        </w:rPr>
        <w:t xml:space="preserve">Wu, T., et al. (2023). </w:t>
      </w:r>
      <w:r w:rsidRPr="00F36602">
        <w:rPr>
          <w:rFonts w:ascii="Arial" w:eastAsia="Calibri" w:hAnsi="Arial" w:cs="Calibri"/>
          <w:bCs/>
          <w:i/>
          <w:iCs/>
          <w:kern w:val="0"/>
          <w:sz w:val="20"/>
          <w:szCs w:val="20"/>
          <w:lang w:val="en-US"/>
          <w14:ligatures w14:val="none"/>
        </w:rPr>
        <w:t>Human Genomics</w:t>
      </w:r>
      <w:r w:rsidRPr="00F36602">
        <w:rPr>
          <w:rFonts w:ascii="Arial" w:eastAsia="Calibri" w:hAnsi="Arial" w:cs="Calibri"/>
          <w:bCs/>
          <w:kern w:val="0"/>
          <w:sz w:val="20"/>
          <w:szCs w:val="20"/>
          <w:lang w:val="en-US"/>
          <w14:ligatures w14:val="none"/>
        </w:rPr>
        <w:t>, 17, 59.</w:t>
      </w:r>
    </w:p>
    <w:p w14:paraId="7D6E388F" w14:textId="5D1F17EE" w:rsidR="00113BB7" w:rsidRPr="002F7385" w:rsidRDefault="002F7385" w:rsidP="002F7385">
      <w:pPr>
        <w:pStyle w:val="ListParagraph"/>
        <w:numPr>
          <w:ilvl w:val="0"/>
          <w:numId w:val="2"/>
        </w:numPr>
        <w:jc w:val="both"/>
        <w:rPr>
          <w:rFonts w:ascii="Arial" w:eastAsia="Calibri" w:hAnsi="Arial" w:cs="Calibri"/>
          <w:bCs/>
          <w:kern w:val="0"/>
          <w:sz w:val="20"/>
          <w:szCs w:val="20"/>
          <w:lang w:val="en-US"/>
          <w14:ligatures w14:val="none"/>
        </w:rPr>
      </w:pPr>
      <w:r w:rsidRPr="00F36602">
        <w:rPr>
          <w:rFonts w:ascii="Arial" w:eastAsia="Calibri" w:hAnsi="Arial" w:cs="Calibri"/>
          <w:bCs/>
          <w:kern w:val="0"/>
          <w:sz w:val="20"/>
          <w:szCs w:val="20"/>
          <w:lang w:val="en-US"/>
          <w14:ligatures w14:val="none"/>
        </w:rPr>
        <w:t xml:space="preserve">Raymond, J., et al. (2019). </w:t>
      </w:r>
      <w:r w:rsidRPr="00F36602">
        <w:rPr>
          <w:rFonts w:ascii="Arial" w:eastAsia="Calibri" w:hAnsi="Arial" w:cs="Calibri"/>
          <w:bCs/>
          <w:i/>
          <w:iCs/>
          <w:kern w:val="0"/>
          <w:sz w:val="20"/>
          <w:szCs w:val="20"/>
          <w:lang w:val="en-US"/>
          <w14:ligatures w14:val="none"/>
        </w:rPr>
        <w:t>Journal of Personalized Medicine</w:t>
      </w:r>
      <w:r w:rsidRPr="00F36602">
        <w:rPr>
          <w:rFonts w:ascii="Arial" w:eastAsia="Calibri" w:hAnsi="Arial" w:cs="Calibri"/>
          <w:bCs/>
          <w:kern w:val="0"/>
          <w:sz w:val="20"/>
          <w:szCs w:val="20"/>
          <w:lang w:val="en-US"/>
          <w14:ligatures w14:val="none"/>
        </w:rPr>
        <w:t>, 9, 7.</w:t>
      </w:r>
    </w:p>
    <w:p w14:paraId="0D051C62" w14:textId="4F0E085E" w:rsidR="002F7385" w:rsidRPr="002F7385" w:rsidRDefault="002F7385" w:rsidP="002F7385">
      <w:pPr>
        <w:pStyle w:val="ListParagraph"/>
        <w:numPr>
          <w:ilvl w:val="0"/>
          <w:numId w:val="2"/>
        </w:numPr>
        <w:rPr>
          <w:rFonts w:ascii="Arial" w:eastAsia="Calibri" w:hAnsi="Arial" w:cs="Calibri"/>
          <w:bCs/>
          <w:kern w:val="0"/>
          <w:sz w:val="20"/>
          <w:szCs w:val="20"/>
          <w:lang w:val="en-US"/>
          <w14:ligatures w14:val="none"/>
        </w:rPr>
      </w:pPr>
      <w:proofErr w:type="spellStart"/>
      <w:r w:rsidRPr="002F7385">
        <w:rPr>
          <w:rFonts w:ascii="Arial" w:eastAsia="Calibri" w:hAnsi="Arial" w:cs="Calibri"/>
          <w:bCs/>
          <w:kern w:val="0"/>
          <w:sz w:val="20"/>
          <w:szCs w:val="20"/>
          <w:lang w:val="en-US"/>
          <w14:ligatures w14:val="none"/>
        </w:rPr>
        <w:t>Cullell</w:t>
      </w:r>
      <w:proofErr w:type="spellEnd"/>
      <w:r w:rsidRPr="002F7385">
        <w:rPr>
          <w:rFonts w:ascii="Arial" w:eastAsia="Calibri" w:hAnsi="Arial" w:cs="Calibri"/>
          <w:bCs/>
          <w:kern w:val="0"/>
          <w:sz w:val="20"/>
          <w:szCs w:val="20"/>
          <w:lang w:val="en-US"/>
          <w14:ligatures w14:val="none"/>
        </w:rPr>
        <w:t xml:space="preserve">, C., et al. (2018). </w:t>
      </w:r>
      <w:proofErr w:type="spellStart"/>
      <w:r w:rsidRPr="002F7385">
        <w:rPr>
          <w:rFonts w:ascii="Arial" w:eastAsia="Calibri" w:hAnsi="Arial" w:cs="Calibri"/>
          <w:bCs/>
          <w:kern w:val="0"/>
          <w:sz w:val="20"/>
          <w:szCs w:val="20"/>
          <w:lang w:val="en-US"/>
          <w14:ligatures w14:val="none"/>
        </w:rPr>
        <w:t>Oncotarget</w:t>
      </w:r>
      <w:proofErr w:type="spellEnd"/>
      <w:r w:rsidRPr="002F7385">
        <w:rPr>
          <w:rFonts w:ascii="Arial" w:eastAsia="Calibri" w:hAnsi="Arial" w:cs="Calibri"/>
          <w:bCs/>
          <w:kern w:val="0"/>
          <w:sz w:val="20"/>
          <w:szCs w:val="20"/>
          <w:lang w:val="en-US"/>
          <w14:ligatures w14:val="none"/>
        </w:rPr>
        <w:t>, 9, 10115–10127.</w:t>
      </w:r>
    </w:p>
    <w:sectPr w:rsidR="002F7385" w:rsidRPr="002F7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92AAC"/>
    <w:multiLevelType w:val="hybridMultilevel"/>
    <w:tmpl w:val="51C4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81163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2F7385"/>
    <w:rsid w:val="003206E4"/>
    <w:rsid w:val="0032628F"/>
    <w:rsid w:val="003A6D5C"/>
    <w:rsid w:val="004A51B6"/>
    <w:rsid w:val="00510CF8"/>
    <w:rsid w:val="005656C5"/>
    <w:rsid w:val="00575A29"/>
    <w:rsid w:val="005E66D2"/>
    <w:rsid w:val="00601754"/>
    <w:rsid w:val="006A34BE"/>
    <w:rsid w:val="006F3F1C"/>
    <w:rsid w:val="007141F2"/>
    <w:rsid w:val="007561D8"/>
    <w:rsid w:val="00795378"/>
    <w:rsid w:val="00796206"/>
    <w:rsid w:val="007C367E"/>
    <w:rsid w:val="008071C5"/>
    <w:rsid w:val="008A7976"/>
    <w:rsid w:val="008E69B0"/>
    <w:rsid w:val="00906D34"/>
    <w:rsid w:val="00933DC9"/>
    <w:rsid w:val="00936D4C"/>
    <w:rsid w:val="009523F9"/>
    <w:rsid w:val="009650DF"/>
    <w:rsid w:val="009B1CBB"/>
    <w:rsid w:val="00A0516D"/>
    <w:rsid w:val="00A159D7"/>
    <w:rsid w:val="00B4721D"/>
    <w:rsid w:val="00B8473A"/>
    <w:rsid w:val="00C1416B"/>
    <w:rsid w:val="00C21815"/>
    <w:rsid w:val="00C315D2"/>
    <w:rsid w:val="00C353D8"/>
    <w:rsid w:val="00C81DB8"/>
    <w:rsid w:val="00C91356"/>
    <w:rsid w:val="00CF5A91"/>
    <w:rsid w:val="00D02BB1"/>
    <w:rsid w:val="00D45A74"/>
    <w:rsid w:val="00D7428F"/>
    <w:rsid w:val="00DD4D7C"/>
    <w:rsid w:val="00EC3746"/>
    <w:rsid w:val="00F36602"/>
    <w:rsid w:val="00F539FB"/>
    <w:rsid w:val="00F85528"/>
    <w:rsid w:val="00F86C30"/>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39"/>
    <w:rsid w:val="00C8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85641">
      <w:bodyDiv w:val="1"/>
      <w:marLeft w:val="0"/>
      <w:marRight w:val="0"/>
      <w:marTop w:val="0"/>
      <w:marBottom w:val="0"/>
      <w:divBdr>
        <w:top w:val="none" w:sz="0" w:space="0" w:color="auto"/>
        <w:left w:val="none" w:sz="0" w:space="0" w:color="auto"/>
        <w:bottom w:val="none" w:sz="0" w:space="0" w:color="auto"/>
        <w:right w:val="none" w:sz="0" w:space="0" w:color="auto"/>
      </w:divBdr>
    </w:div>
    <w:div w:id="1206138643">
      <w:bodyDiv w:val="1"/>
      <w:marLeft w:val="0"/>
      <w:marRight w:val="0"/>
      <w:marTop w:val="0"/>
      <w:marBottom w:val="0"/>
      <w:divBdr>
        <w:top w:val="none" w:sz="0" w:space="0" w:color="auto"/>
        <w:left w:val="none" w:sz="0" w:space="0" w:color="auto"/>
        <w:bottom w:val="none" w:sz="0" w:space="0" w:color="auto"/>
        <w:right w:val="none" w:sz="0" w:space="0" w:color="auto"/>
      </w:divBdr>
    </w:div>
    <w:div w:id="1311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Thao Pham</cp:lastModifiedBy>
  <cp:revision>4</cp:revision>
  <dcterms:created xsi:type="dcterms:W3CDTF">2025-05-28T03:19:00Z</dcterms:created>
  <dcterms:modified xsi:type="dcterms:W3CDTF">2025-05-28T04:48:00Z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